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72BFA7" w14:textId="4A70604E" w:rsidR="0004736B" w:rsidRPr="00395023" w:rsidRDefault="00FB6407" w:rsidP="00FB6407">
      <w:pPr>
        <w:jc w:val="center"/>
        <w:rPr>
          <w:b/>
          <w:sz w:val="36"/>
        </w:rPr>
      </w:pPr>
      <w:r w:rsidRPr="00395023">
        <w:rPr>
          <w:rFonts w:hint="eastAsia"/>
          <w:b/>
          <w:sz w:val="36"/>
        </w:rPr>
        <w:t>《</w:t>
      </w:r>
      <w:r w:rsidR="00B720D7" w:rsidRPr="00395023">
        <w:rPr>
          <w:rFonts w:hint="eastAsia"/>
          <w:b/>
          <w:sz w:val="36"/>
        </w:rPr>
        <w:t>核反应堆数字样机规范</w:t>
      </w:r>
      <w:r w:rsidRPr="00395023">
        <w:rPr>
          <w:rFonts w:hint="eastAsia"/>
          <w:b/>
          <w:sz w:val="36"/>
        </w:rPr>
        <w:t>标准》编制说明</w:t>
      </w:r>
    </w:p>
    <w:p w14:paraId="53D1FF8D" w14:textId="1039F5A6" w:rsidR="00FB6407" w:rsidRPr="00395023" w:rsidRDefault="00FB6407" w:rsidP="00FB6407">
      <w:pPr>
        <w:jc w:val="center"/>
        <w:rPr>
          <w:b/>
          <w:sz w:val="36"/>
        </w:rPr>
      </w:pPr>
      <w:r w:rsidRPr="00395023">
        <w:rPr>
          <w:rFonts w:hint="eastAsia"/>
          <w:b/>
          <w:sz w:val="36"/>
        </w:rPr>
        <w:t>（征求意见稿）</w:t>
      </w:r>
    </w:p>
    <w:p w14:paraId="1A919FDF" w14:textId="0F84E272" w:rsidR="00FB6407" w:rsidRPr="00395023" w:rsidRDefault="00FB6407" w:rsidP="006633BA">
      <w:pPr>
        <w:outlineLvl w:val="0"/>
        <w:rPr>
          <w:b/>
          <w:sz w:val="28"/>
          <w:szCs w:val="28"/>
        </w:rPr>
      </w:pPr>
      <w:r w:rsidRPr="00395023">
        <w:rPr>
          <w:rFonts w:hint="eastAsia"/>
          <w:b/>
          <w:sz w:val="28"/>
          <w:szCs w:val="28"/>
        </w:rPr>
        <w:t>一、工作简况</w:t>
      </w:r>
    </w:p>
    <w:p w14:paraId="77EFEE6D" w14:textId="43F379D7" w:rsidR="00FB6407" w:rsidRPr="00395023" w:rsidRDefault="00FB6407" w:rsidP="00FB6407">
      <w:pPr>
        <w:rPr>
          <w:b/>
        </w:rPr>
      </w:pPr>
      <w:r w:rsidRPr="00395023">
        <w:rPr>
          <w:rFonts w:hint="eastAsia"/>
          <w:b/>
        </w:rPr>
        <w:t>1、任务来源</w:t>
      </w:r>
    </w:p>
    <w:p w14:paraId="0927A6F0" w14:textId="35BAAB2C" w:rsidR="00386654" w:rsidRPr="00395023" w:rsidRDefault="00386654" w:rsidP="00FB63FA">
      <w:pPr>
        <w:ind w:firstLineChars="200" w:firstLine="480"/>
      </w:pPr>
      <w:r w:rsidRPr="00395023">
        <w:rPr>
          <w:rFonts w:hint="eastAsia"/>
        </w:rPr>
        <w:t>本文件由上海交通大学起草，于2</w:t>
      </w:r>
      <w:r w:rsidRPr="00395023">
        <w:t>024</w:t>
      </w:r>
      <w:r w:rsidRPr="00395023">
        <w:rPr>
          <w:rFonts w:hint="eastAsia"/>
        </w:rPr>
        <w:t>年</w:t>
      </w:r>
      <w:r w:rsidR="00786452" w:rsidRPr="00395023">
        <w:t>2</w:t>
      </w:r>
      <w:r w:rsidRPr="00395023">
        <w:rPr>
          <w:rFonts w:hint="eastAsia"/>
        </w:rPr>
        <w:t>月2</w:t>
      </w:r>
      <w:r w:rsidR="00786452" w:rsidRPr="00395023">
        <w:t>4</w:t>
      </w:r>
      <w:r w:rsidRPr="00395023">
        <w:rPr>
          <w:rFonts w:hint="eastAsia"/>
        </w:rPr>
        <w:t>日起草</w:t>
      </w:r>
      <w:r w:rsidR="00BB3169" w:rsidRPr="00395023">
        <w:rPr>
          <w:rFonts w:hint="eastAsia"/>
        </w:rPr>
        <w:t>，</w:t>
      </w:r>
      <w:r w:rsidRPr="00395023">
        <w:rPr>
          <w:rFonts w:hint="eastAsia"/>
        </w:rPr>
        <w:t>已与中国核能行业协会签订合同。</w:t>
      </w:r>
    </w:p>
    <w:p w14:paraId="54110332" w14:textId="77777777" w:rsidR="006A6B56" w:rsidRPr="00395023" w:rsidRDefault="006A6B56" w:rsidP="00FB6407"/>
    <w:p w14:paraId="6190752E" w14:textId="0597C42A" w:rsidR="00FB6407" w:rsidRPr="00395023" w:rsidRDefault="00FB6407" w:rsidP="00FB6407">
      <w:pPr>
        <w:rPr>
          <w:b/>
        </w:rPr>
      </w:pPr>
      <w:r w:rsidRPr="00395023">
        <w:rPr>
          <w:rFonts w:hint="eastAsia"/>
          <w:b/>
        </w:rPr>
        <w:t>2、主要工作过程</w:t>
      </w:r>
    </w:p>
    <w:p w14:paraId="209BA847" w14:textId="7BC3BB25" w:rsidR="008E5556" w:rsidRDefault="00873E9D" w:rsidP="00D324AB">
      <w:pPr>
        <w:ind w:firstLineChars="200" w:firstLine="480"/>
      </w:pPr>
      <w:r>
        <w:t>本团体合同的制定工作严格按照科学、规范、公开的原则开展，主要分为起草阶段与征求意见阶段两个阶段进行。起草阶段自2024年2月24日启动，至2024年7月24日完成</w:t>
      </w:r>
      <w:r>
        <w:rPr>
          <w:rFonts w:hint="eastAsia"/>
        </w:rPr>
        <w:t>，</w:t>
      </w:r>
      <w:r>
        <w:t>重点围绕标准框架设计、技术内容编写与验证、内部协调修改等方面开展工作。征求意见阶段自2024年7月24日启动，至2025年2月24日完成，主要聚焦于草案文本的广泛征求与意见吸收。</w:t>
      </w:r>
    </w:p>
    <w:p w14:paraId="15D3C625" w14:textId="443CAD6A" w:rsidR="00973E36" w:rsidRPr="00395023" w:rsidRDefault="00A1417C" w:rsidP="00873E9D">
      <w:r>
        <w:rPr>
          <w:rFonts w:hint="eastAsia"/>
        </w:rPr>
        <w:t>（1）</w:t>
      </w:r>
      <w:r w:rsidR="007E4BF8" w:rsidRPr="00395023">
        <w:rPr>
          <w:rFonts w:hint="eastAsia"/>
        </w:rPr>
        <w:t>2</w:t>
      </w:r>
      <w:r w:rsidR="007E4BF8" w:rsidRPr="00395023">
        <w:t>024</w:t>
      </w:r>
      <w:r w:rsidR="007E4BF8" w:rsidRPr="00395023">
        <w:rPr>
          <w:rFonts w:hint="eastAsia"/>
        </w:rPr>
        <w:t>年2月2</w:t>
      </w:r>
      <w:r w:rsidR="007E4BF8" w:rsidRPr="00395023">
        <w:t>4</w:t>
      </w:r>
      <w:r w:rsidR="007E4BF8" w:rsidRPr="00395023">
        <w:rPr>
          <w:rFonts w:hint="eastAsia"/>
        </w:rPr>
        <w:t>日-2</w:t>
      </w:r>
      <w:r w:rsidR="007E4BF8" w:rsidRPr="00395023">
        <w:t>024</w:t>
      </w:r>
      <w:r w:rsidR="007E4BF8" w:rsidRPr="00395023">
        <w:rPr>
          <w:rFonts w:hint="eastAsia"/>
        </w:rPr>
        <w:t>年</w:t>
      </w:r>
      <w:r w:rsidR="007E4BF8" w:rsidRPr="00395023">
        <w:t>7</w:t>
      </w:r>
      <w:r w:rsidR="007E4BF8" w:rsidRPr="00395023">
        <w:rPr>
          <w:rFonts w:hint="eastAsia"/>
        </w:rPr>
        <w:t>月2</w:t>
      </w:r>
      <w:r w:rsidR="007E4BF8" w:rsidRPr="00395023">
        <w:t>4</w:t>
      </w:r>
      <w:r w:rsidR="007E4BF8" w:rsidRPr="00395023">
        <w:rPr>
          <w:rFonts w:hint="eastAsia"/>
        </w:rPr>
        <w:t>日</w:t>
      </w:r>
      <w:r w:rsidR="008E5556">
        <w:rPr>
          <w:rFonts w:hint="eastAsia"/>
        </w:rPr>
        <w:t>，</w:t>
      </w:r>
      <w:r w:rsidR="008E5556" w:rsidRPr="00395023">
        <w:rPr>
          <w:rFonts w:hint="eastAsia"/>
        </w:rPr>
        <w:t>起草阶段，主要工作内容如下</w:t>
      </w:r>
      <w:r w:rsidR="007E4BF8" w:rsidRPr="00395023">
        <w:rPr>
          <w:rFonts w:hint="eastAsia"/>
        </w:rPr>
        <w:t>：</w:t>
      </w:r>
      <w:r w:rsidR="008E5556" w:rsidRPr="00395023">
        <w:t xml:space="preserve"> </w:t>
      </w:r>
    </w:p>
    <w:p w14:paraId="3BD7A179" w14:textId="2D788A5B" w:rsidR="007E4BF8" w:rsidRPr="00395023" w:rsidRDefault="001F6B09" w:rsidP="00D324AB">
      <w:pPr>
        <w:ind w:firstLineChars="200" w:firstLine="480"/>
      </w:pPr>
      <w:r w:rsidRPr="00395023">
        <w:rPr>
          <w:rFonts w:hint="eastAsia"/>
        </w:rPr>
        <w:t>组建</w:t>
      </w:r>
      <w:r w:rsidR="007E4BF8" w:rsidRPr="00395023">
        <w:rPr>
          <w:rFonts w:hint="eastAsia"/>
        </w:rPr>
        <w:t>团队：由</w:t>
      </w:r>
      <w:r w:rsidR="001D2475" w:rsidRPr="00395023">
        <w:rPr>
          <w:rFonts w:hint="eastAsia"/>
        </w:rPr>
        <w:t>核电数字样机</w:t>
      </w:r>
      <w:r w:rsidR="007E4BF8" w:rsidRPr="00395023">
        <w:rPr>
          <w:rFonts w:hint="eastAsia"/>
        </w:rPr>
        <w:t>行业专家、企业代表、高校教师等相关方组成，确保团队的专业性和代表性；</w:t>
      </w:r>
    </w:p>
    <w:p w14:paraId="75F20915" w14:textId="0707EE66" w:rsidR="007E4BF8" w:rsidRPr="00395023" w:rsidRDefault="007E4BF8" w:rsidP="00D324AB">
      <w:pPr>
        <w:ind w:firstLineChars="200" w:firstLine="480"/>
      </w:pPr>
      <w:r w:rsidRPr="00395023">
        <w:rPr>
          <w:rFonts w:hint="eastAsia"/>
        </w:rPr>
        <w:t>明确职责：分配任务（技术内容编写、协调沟通、文档管理等），制定起草计划和时间表；</w:t>
      </w:r>
    </w:p>
    <w:p w14:paraId="0295AD1B" w14:textId="0CEE853B" w:rsidR="007E4BF8" w:rsidRPr="00395023" w:rsidRDefault="007E4BF8" w:rsidP="00D324AB">
      <w:pPr>
        <w:ind w:firstLineChars="200" w:firstLine="480"/>
      </w:pPr>
      <w:r w:rsidRPr="00395023">
        <w:rPr>
          <w:rFonts w:hint="eastAsia"/>
        </w:rPr>
        <w:t>现状分析：研究</w:t>
      </w:r>
      <w:r w:rsidRPr="00395023">
        <w:t>国内外同类</w:t>
      </w:r>
      <w:r w:rsidR="001D2475" w:rsidRPr="00395023">
        <w:rPr>
          <w:rFonts w:hint="eastAsia"/>
        </w:rPr>
        <w:t>数字样机</w:t>
      </w:r>
      <w:r w:rsidRPr="00395023">
        <w:t>标准、法规政策、技术发展趋势，避免重复或冲突</w:t>
      </w:r>
      <w:r w:rsidRPr="00395023">
        <w:rPr>
          <w:rFonts w:hint="eastAsia"/>
        </w:rPr>
        <w:t>；</w:t>
      </w:r>
    </w:p>
    <w:p w14:paraId="70D113FE" w14:textId="1D8EFB7C" w:rsidR="007E4BF8" w:rsidRPr="00395023" w:rsidRDefault="007E4BF8" w:rsidP="00D324AB">
      <w:pPr>
        <w:ind w:firstLineChars="200" w:firstLine="480"/>
      </w:pPr>
      <w:r w:rsidRPr="00395023">
        <w:rPr>
          <w:rFonts w:hint="eastAsia"/>
        </w:rPr>
        <w:t>需求识别：调研行业痛点、用户需求以及技术难点；</w:t>
      </w:r>
    </w:p>
    <w:p w14:paraId="4DFB953F" w14:textId="262465CF" w:rsidR="007E4BF8" w:rsidRPr="00395023" w:rsidRDefault="007E4BF8" w:rsidP="00D324AB">
      <w:pPr>
        <w:ind w:firstLineChars="200" w:firstLine="480"/>
      </w:pPr>
      <w:r w:rsidRPr="00395023">
        <w:rPr>
          <w:rFonts w:hint="eastAsia"/>
        </w:rPr>
        <w:t>实验验证：进行数字样机实验，对技术指标进行测试及试点应用，确保标准的科学性和可行性；</w:t>
      </w:r>
    </w:p>
    <w:p w14:paraId="68AB01CD" w14:textId="241AFC69" w:rsidR="007E4BF8" w:rsidRPr="00395023" w:rsidRDefault="007D349B" w:rsidP="00D324AB">
      <w:pPr>
        <w:ind w:firstLineChars="200" w:firstLine="480"/>
      </w:pPr>
      <w:r w:rsidRPr="00395023">
        <w:rPr>
          <w:rFonts w:hint="eastAsia"/>
        </w:rPr>
        <w:t>拟定框架标准：明确核电数字样机标准适用范围，设计章节框架，</w:t>
      </w:r>
      <w:r w:rsidRPr="00395023">
        <w:t>依据标准编写规则</w:t>
      </w:r>
      <w:r w:rsidR="00033375" w:rsidRPr="00395023">
        <w:rPr>
          <w:rFonts w:hint="eastAsia"/>
        </w:rPr>
        <w:t>，</w:t>
      </w:r>
      <w:r w:rsidRPr="00395023">
        <w:t>如ISO/IEC导则、GB/T 1.1</w:t>
      </w:r>
      <w:r w:rsidR="00033375" w:rsidRPr="00395023">
        <w:rPr>
          <w:rFonts w:hint="eastAsia"/>
        </w:rPr>
        <w:t>等，</w:t>
      </w:r>
      <w:r w:rsidRPr="00395023">
        <w:t>确保格式合</w:t>
      </w:r>
      <w:proofErr w:type="gramStart"/>
      <w:r w:rsidRPr="00395023">
        <w:t>规</w:t>
      </w:r>
      <w:proofErr w:type="gramEnd"/>
      <w:r w:rsidRPr="00395023">
        <w:rPr>
          <w:rFonts w:hint="eastAsia"/>
        </w:rPr>
        <w:t>；</w:t>
      </w:r>
    </w:p>
    <w:p w14:paraId="5801F330" w14:textId="76A4AF21" w:rsidR="007D349B" w:rsidRPr="00395023" w:rsidRDefault="007D349B" w:rsidP="00D324AB">
      <w:pPr>
        <w:ind w:firstLineChars="200" w:firstLine="480"/>
        <w:rPr>
          <w:rFonts w:ascii="Segoe UI" w:hAnsi="Segoe UI" w:cs="Segoe UI"/>
        </w:rPr>
      </w:pPr>
      <w:r w:rsidRPr="00395023">
        <w:rPr>
          <w:rFonts w:hint="eastAsia"/>
        </w:rPr>
        <w:t>技术内容编写：</w:t>
      </w:r>
      <w:r w:rsidRPr="00395023">
        <w:t>逐项编写一般性规范</w:t>
      </w:r>
      <w:r w:rsidRPr="00395023">
        <w:rPr>
          <w:rFonts w:hint="eastAsia"/>
        </w:rPr>
        <w:t>、</w:t>
      </w:r>
      <w:r w:rsidRPr="00395023">
        <w:t>工艺样机</w:t>
      </w:r>
      <w:bookmarkStart w:id="0" w:name="_Hlk172592398"/>
      <w:r w:rsidRPr="00395023">
        <w:t>覆盖完整度规范</w:t>
      </w:r>
      <w:bookmarkEnd w:id="0"/>
      <w:r w:rsidRPr="00395023">
        <w:rPr>
          <w:rFonts w:hint="eastAsia"/>
        </w:rPr>
        <w:t>、</w:t>
      </w:r>
      <w:bookmarkStart w:id="1" w:name="_Hlk172592407"/>
      <w:r w:rsidRPr="00395023">
        <w:t>性能样机覆盖完整度规范</w:t>
      </w:r>
      <w:bookmarkEnd w:id="1"/>
      <w:r w:rsidRPr="00395023">
        <w:rPr>
          <w:rFonts w:hint="eastAsia"/>
        </w:rPr>
        <w:t>、</w:t>
      </w:r>
      <w:r w:rsidRPr="00395023">
        <w:t>核反应堆数字样机</w:t>
      </w:r>
      <w:bookmarkStart w:id="2" w:name="_Hlk172592418"/>
      <w:r w:rsidRPr="00395023">
        <w:t>构建规范</w:t>
      </w:r>
      <w:bookmarkEnd w:id="2"/>
      <w:r w:rsidRPr="00395023">
        <w:rPr>
          <w:rFonts w:hint="eastAsia"/>
        </w:rPr>
        <w:t>、</w:t>
      </w:r>
      <w:r w:rsidRPr="00395023">
        <w:t>核反应堆数字样机</w:t>
      </w:r>
      <w:bookmarkStart w:id="3" w:name="_Hlk172592431"/>
      <w:r w:rsidRPr="00395023">
        <w:t>测试与评</w:t>
      </w:r>
      <w:r w:rsidRPr="00395023">
        <w:lastRenderedPageBreak/>
        <w:t>估分析规范</w:t>
      </w:r>
      <w:bookmarkEnd w:id="3"/>
      <w:r w:rsidRPr="00395023">
        <w:rPr>
          <w:rFonts w:hint="eastAsia"/>
        </w:rPr>
        <w:t>、</w:t>
      </w:r>
      <w:r w:rsidRPr="00395023">
        <w:t>核反应堆数字样机</w:t>
      </w:r>
      <w:bookmarkStart w:id="4" w:name="_Hlk172592440"/>
      <w:r w:rsidRPr="00395023">
        <w:t>技术状态规范要求</w:t>
      </w:r>
      <w:bookmarkEnd w:id="4"/>
      <w:r w:rsidRPr="00395023">
        <w:rPr>
          <w:rFonts w:hint="eastAsia"/>
        </w:rPr>
        <w:t>，清晰界定</w:t>
      </w:r>
      <w:r w:rsidRPr="00395023">
        <w:t>专业术语，避免歧义</w:t>
      </w:r>
      <w:r w:rsidRPr="00395023">
        <w:rPr>
          <w:rFonts w:hint="eastAsia"/>
        </w:rPr>
        <w:t>，</w:t>
      </w:r>
      <w:r w:rsidRPr="00395023">
        <w:rPr>
          <w:rFonts w:ascii="Segoe UI" w:hAnsi="Segoe UI" w:cs="Segoe UI"/>
        </w:rPr>
        <w:t>注明引用的其他标准或文献，确保衔接性</w:t>
      </w:r>
      <w:r w:rsidRPr="00395023">
        <w:rPr>
          <w:rFonts w:ascii="Segoe UI" w:hAnsi="Segoe UI" w:cs="Segoe UI" w:hint="eastAsia"/>
        </w:rPr>
        <w:t>；</w:t>
      </w:r>
    </w:p>
    <w:p w14:paraId="6F7E1136" w14:textId="65A1362B" w:rsidR="007D349B" w:rsidRPr="00395023" w:rsidRDefault="007D349B" w:rsidP="00D324AB">
      <w:pPr>
        <w:ind w:firstLineChars="200" w:firstLine="480"/>
      </w:pPr>
      <w:r w:rsidRPr="00395023">
        <w:rPr>
          <w:rFonts w:ascii="Segoe UI" w:hAnsi="Segoe UI" w:cs="Segoe UI" w:hint="eastAsia"/>
        </w:rPr>
        <w:t>内</w:t>
      </w:r>
      <w:r w:rsidRPr="00395023">
        <w:rPr>
          <w:rFonts w:hint="eastAsia"/>
        </w:rPr>
        <w:t>部讨论与修改：</w:t>
      </w:r>
      <w:r w:rsidRPr="00395023">
        <w:t>通过多轮会议讨论技术细节，协调不同意见，解决争议点</w:t>
      </w:r>
      <w:r w:rsidRPr="00395023">
        <w:rPr>
          <w:rFonts w:hint="eastAsia"/>
        </w:rPr>
        <w:t>，</w:t>
      </w:r>
      <w:r w:rsidRPr="00395023">
        <w:t>修正逻辑漏洞或技术偏差</w:t>
      </w:r>
      <w:r w:rsidRPr="00395023">
        <w:rPr>
          <w:rFonts w:hint="eastAsia"/>
        </w:rPr>
        <w:t>；</w:t>
      </w:r>
    </w:p>
    <w:p w14:paraId="2D5E987E" w14:textId="6A0A3626" w:rsidR="007D349B" w:rsidRPr="00395023" w:rsidRDefault="007D349B" w:rsidP="00D324AB">
      <w:pPr>
        <w:ind w:firstLineChars="200" w:firstLine="480"/>
      </w:pPr>
      <w:r w:rsidRPr="00395023">
        <w:rPr>
          <w:rFonts w:hint="eastAsia"/>
        </w:rPr>
        <w:t>形成草案：</w:t>
      </w:r>
      <w:r w:rsidRPr="00395023">
        <w:rPr>
          <w:rFonts w:ascii="Segoe UI" w:hAnsi="Segoe UI" w:cs="Segoe UI"/>
        </w:rPr>
        <w:t>根据内部反馈完善文本，形成标准草案</w:t>
      </w:r>
      <w:r w:rsidRPr="00395023">
        <w:rPr>
          <w:rFonts w:ascii="Segoe UI" w:hAnsi="Segoe UI" w:cs="Segoe UI" w:hint="eastAsia"/>
        </w:rPr>
        <w:t>。</w:t>
      </w:r>
    </w:p>
    <w:p w14:paraId="55A830B4" w14:textId="0D7CDE86" w:rsidR="007E4BF8" w:rsidRPr="00395023" w:rsidRDefault="00A1417C" w:rsidP="00873E9D">
      <w:r>
        <w:rPr>
          <w:rFonts w:hint="eastAsia"/>
        </w:rPr>
        <w:t>（2）</w:t>
      </w:r>
      <w:r w:rsidR="006F1215" w:rsidRPr="00395023">
        <w:rPr>
          <w:rFonts w:hint="eastAsia"/>
        </w:rPr>
        <w:t>2</w:t>
      </w:r>
      <w:r w:rsidR="006F1215" w:rsidRPr="00395023">
        <w:t>024</w:t>
      </w:r>
      <w:r w:rsidR="006F1215" w:rsidRPr="00395023">
        <w:rPr>
          <w:rFonts w:hint="eastAsia"/>
        </w:rPr>
        <w:t>年</w:t>
      </w:r>
      <w:r w:rsidR="006F1215" w:rsidRPr="00395023">
        <w:t>7</w:t>
      </w:r>
      <w:r w:rsidR="006F1215" w:rsidRPr="00395023">
        <w:rPr>
          <w:rFonts w:hint="eastAsia"/>
        </w:rPr>
        <w:t>月2</w:t>
      </w:r>
      <w:r w:rsidR="006F1215" w:rsidRPr="00395023">
        <w:t>4</w:t>
      </w:r>
      <w:r w:rsidR="006F1215" w:rsidRPr="00395023">
        <w:rPr>
          <w:rFonts w:hint="eastAsia"/>
        </w:rPr>
        <w:t>日-2</w:t>
      </w:r>
      <w:r w:rsidR="006F1215" w:rsidRPr="00395023">
        <w:t>02</w:t>
      </w:r>
      <w:r w:rsidR="00183FE7" w:rsidRPr="00395023">
        <w:rPr>
          <w:rFonts w:hint="eastAsia"/>
        </w:rPr>
        <w:t>5</w:t>
      </w:r>
      <w:r w:rsidR="006F1215" w:rsidRPr="00395023">
        <w:rPr>
          <w:rFonts w:hint="eastAsia"/>
        </w:rPr>
        <w:t>年</w:t>
      </w:r>
      <w:r w:rsidR="006F1215" w:rsidRPr="00395023">
        <w:t>2</w:t>
      </w:r>
      <w:r w:rsidR="006F1215" w:rsidRPr="00395023">
        <w:rPr>
          <w:rFonts w:hint="eastAsia"/>
        </w:rPr>
        <w:t>月2</w:t>
      </w:r>
      <w:r w:rsidR="006F1215" w:rsidRPr="00395023">
        <w:t>4</w:t>
      </w:r>
      <w:r w:rsidR="006F1215" w:rsidRPr="00395023">
        <w:rPr>
          <w:rFonts w:hint="eastAsia"/>
        </w:rPr>
        <w:t>日</w:t>
      </w:r>
      <w:r w:rsidR="008E5556">
        <w:rPr>
          <w:rFonts w:hint="eastAsia"/>
        </w:rPr>
        <w:t>，</w:t>
      </w:r>
      <w:r w:rsidR="008E5556" w:rsidRPr="00395023">
        <w:rPr>
          <w:rFonts w:hint="eastAsia"/>
        </w:rPr>
        <w:t>征求意见阶段</w:t>
      </w:r>
      <w:r w:rsidR="008E5556">
        <w:rPr>
          <w:rFonts w:hint="eastAsia"/>
        </w:rPr>
        <w:t>，主要工作内容如下</w:t>
      </w:r>
      <w:r w:rsidR="006F1215" w:rsidRPr="00395023">
        <w:rPr>
          <w:rFonts w:hint="eastAsia"/>
        </w:rPr>
        <w:t>：</w:t>
      </w:r>
      <w:r w:rsidR="008E5556" w:rsidRPr="00395023">
        <w:t xml:space="preserve"> </w:t>
      </w:r>
    </w:p>
    <w:p w14:paraId="1E30D22A" w14:textId="3AEC999A" w:rsidR="00812745" w:rsidRPr="00395023" w:rsidRDefault="00B334A2" w:rsidP="00812745">
      <w:pPr>
        <w:ind w:firstLineChars="200" w:firstLine="480"/>
      </w:pPr>
      <w:r w:rsidRPr="00395023">
        <w:rPr>
          <w:rFonts w:hint="eastAsia"/>
        </w:rPr>
        <w:t>形成征求意见稿</w:t>
      </w:r>
      <w:r w:rsidR="00812745" w:rsidRPr="00395023">
        <w:rPr>
          <w:rFonts w:hint="eastAsia"/>
        </w:rPr>
        <w:t>：</w:t>
      </w:r>
      <w:r w:rsidRPr="00395023">
        <w:t>完成起草阶段的草案，并附《编制说明》，明确标准制定的背景、依据、技术论证过程及争议点处理</w:t>
      </w:r>
      <w:r w:rsidR="00812745" w:rsidRPr="00395023">
        <w:rPr>
          <w:rFonts w:hint="eastAsia"/>
        </w:rPr>
        <w:t>；</w:t>
      </w:r>
    </w:p>
    <w:p w14:paraId="316EEF79" w14:textId="64B4A3F7" w:rsidR="00B334A2" w:rsidRPr="00395023" w:rsidRDefault="00B334A2" w:rsidP="00812745">
      <w:pPr>
        <w:ind w:firstLineChars="200" w:firstLine="480"/>
      </w:pPr>
      <w:r w:rsidRPr="00395023">
        <w:rPr>
          <w:rFonts w:hint="eastAsia"/>
        </w:rPr>
        <w:t>确定征求意见范围：</w:t>
      </w:r>
      <w:proofErr w:type="gramStart"/>
      <w:r w:rsidRPr="00395023">
        <w:rPr>
          <w:rFonts w:hint="eastAsia"/>
        </w:rPr>
        <w:t>明确需</w:t>
      </w:r>
      <w:proofErr w:type="gramEnd"/>
      <w:r w:rsidRPr="00395023">
        <w:rPr>
          <w:rFonts w:hint="eastAsia"/>
        </w:rPr>
        <w:t>征询意见的机构或个人，指定征求意见计划；</w:t>
      </w:r>
    </w:p>
    <w:p w14:paraId="0B90ADE5" w14:textId="70891C11" w:rsidR="00B334A2" w:rsidRPr="00395023" w:rsidRDefault="00B334A2" w:rsidP="00812745">
      <w:pPr>
        <w:ind w:firstLineChars="200" w:firstLine="480"/>
      </w:pPr>
      <w:r w:rsidRPr="00395023">
        <w:rPr>
          <w:rFonts w:hint="eastAsia"/>
        </w:rPr>
        <w:t>公开征求意见：通过多种渠道同步公开，明确意见提交的格式、截止日期及联系方式；</w:t>
      </w:r>
    </w:p>
    <w:p w14:paraId="1863A27B" w14:textId="370D47D6" w:rsidR="00B334A2" w:rsidRPr="00395023" w:rsidRDefault="00B334A2" w:rsidP="00812745">
      <w:pPr>
        <w:ind w:firstLineChars="200" w:firstLine="480"/>
      </w:pPr>
      <w:r w:rsidRPr="00395023">
        <w:rPr>
          <w:rFonts w:hint="eastAsia"/>
        </w:rPr>
        <w:t>意见收集与整理：按条款</w:t>
      </w:r>
      <w:r w:rsidRPr="00395023">
        <w:t>分类整理所有收到的意见，避免遗漏</w:t>
      </w:r>
      <w:r w:rsidRPr="00395023">
        <w:rPr>
          <w:rFonts w:hint="eastAsia"/>
        </w:rPr>
        <w:t>，</w:t>
      </w:r>
      <w:r w:rsidRPr="00395023">
        <w:t>记录提出者的身份（如企业、专家、用户），便于后续分析权重</w:t>
      </w:r>
      <w:r w:rsidRPr="00395023">
        <w:rPr>
          <w:rFonts w:hint="eastAsia"/>
        </w:rPr>
        <w:t>，</w:t>
      </w:r>
      <w:r w:rsidRPr="00395023">
        <w:t>排除与标准无关或重复的意见</w:t>
      </w:r>
      <w:r w:rsidRPr="00395023">
        <w:rPr>
          <w:rFonts w:hint="eastAsia"/>
        </w:rPr>
        <w:t>，</w:t>
      </w:r>
      <w:r w:rsidRPr="00395023">
        <w:t>区分技术性意见（如指标合理性）与非技术性意见（如表述优化）</w:t>
      </w:r>
      <w:r w:rsidRPr="00395023">
        <w:rPr>
          <w:rFonts w:hint="eastAsia"/>
        </w:rPr>
        <w:t>；</w:t>
      </w:r>
    </w:p>
    <w:p w14:paraId="515BEA78" w14:textId="24792BF3" w:rsidR="008870D3" w:rsidRPr="00395023" w:rsidRDefault="00B334A2" w:rsidP="006F1215">
      <w:pPr>
        <w:ind w:firstLineChars="200" w:firstLine="480"/>
      </w:pPr>
      <w:r w:rsidRPr="00395023">
        <w:rPr>
          <w:rFonts w:hint="eastAsia"/>
        </w:rPr>
        <w:t>意见分析与处理：工作组内部讨论，</w:t>
      </w:r>
      <w:r w:rsidRPr="00395023">
        <w:t>逐条分析意见的合理性，评估是否采纳</w:t>
      </w:r>
      <w:r w:rsidRPr="00395023">
        <w:rPr>
          <w:rFonts w:hint="eastAsia"/>
        </w:rPr>
        <w:t>，</w:t>
      </w:r>
      <w:r w:rsidRPr="00395023">
        <w:t>对分歧较大的意见召开专题会议或专家论证会协商</w:t>
      </w:r>
      <w:r w:rsidR="00F32115" w:rsidRPr="00395023">
        <w:rPr>
          <w:rFonts w:hint="eastAsia"/>
        </w:rPr>
        <w:t>。</w:t>
      </w:r>
    </w:p>
    <w:p w14:paraId="6CD9F351" w14:textId="00585128" w:rsidR="00FB6407" w:rsidRPr="00395023" w:rsidRDefault="00FB6407" w:rsidP="00FB6407"/>
    <w:p w14:paraId="75EBE3F9" w14:textId="7E91D38F" w:rsidR="009B4282" w:rsidRPr="005A1C0A" w:rsidRDefault="00FB6407" w:rsidP="009B4282">
      <w:pPr>
        <w:rPr>
          <w:rFonts w:hint="eastAsia"/>
          <w:b/>
        </w:rPr>
      </w:pPr>
      <w:r w:rsidRPr="00395023">
        <w:rPr>
          <w:rFonts w:hint="eastAsia"/>
          <w:b/>
        </w:rPr>
        <w:t>3、</w:t>
      </w:r>
      <w:r w:rsidRPr="00395023">
        <w:rPr>
          <w:b/>
        </w:rPr>
        <w:t>主要参加单位和工作组成员及其所作的工作等</w:t>
      </w:r>
    </w:p>
    <w:p w14:paraId="0784DE0F" w14:textId="2C8D9800" w:rsidR="005A1C0A" w:rsidRDefault="005A1C0A" w:rsidP="005A1C0A">
      <w:pPr>
        <w:ind w:firstLineChars="200" w:firstLine="480"/>
        <w:rPr>
          <w:rFonts w:hint="eastAsia"/>
        </w:rPr>
      </w:pPr>
      <w:r>
        <w:t>本标准的</w:t>
      </w:r>
      <w:r>
        <w:rPr>
          <w:rFonts w:hint="eastAsia"/>
        </w:rPr>
        <w:t>主要参加成员来自于</w:t>
      </w:r>
      <w:r>
        <w:t>科研院所、高校及工程单位，涵盖了核能系统设计、数字样机建模、工程应用验证、用户界面设计及知识产权管理等多个关键领域</w:t>
      </w:r>
      <w:r>
        <w:rPr>
          <w:rFonts w:hint="eastAsia"/>
        </w:rPr>
        <w:t>，主要参与单位及成员如下：</w:t>
      </w:r>
    </w:p>
    <w:p w14:paraId="44AA3087" w14:textId="3B6E0A10" w:rsidR="009B4282" w:rsidRPr="00395023" w:rsidRDefault="009B4282" w:rsidP="009B4282">
      <w:r w:rsidRPr="00395023">
        <w:rPr>
          <w:rFonts w:hint="eastAsia"/>
        </w:rPr>
        <w:t>（1）上海交通大学</w:t>
      </w:r>
      <w:r w:rsidR="00D56BE5" w:rsidRPr="00395023">
        <w:rPr>
          <w:rFonts w:hint="eastAsia"/>
        </w:rPr>
        <w:t>，参编人员：</w:t>
      </w:r>
      <w:bookmarkStart w:id="5" w:name="_Hlk194589068"/>
      <w:r w:rsidR="00D56BE5" w:rsidRPr="00395023">
        <w:rPr>
          <w:rFonts w:hint="eastAsia"/>
        </w:rPr>
        <w:t>刘晓晶，宋美琪，柴翔，邢宇</w:t>
      </w:r>
      <w:bookmarkEnd w:id="5"/>
    </w:p>
    <w:p w14:paraId="50148A34" w14:textId="08C6EDC2" w:rsidR="009B4282" w:rsidRPr="00395023" w:rsidRDefault="00333904" w:rsidP="009B4282">
      <w:pPr>
        <w:ind w:firstLineChars="200" w:firstLine="480"/>
      </w:pPr>
      <w:r w:rsidRPr="00395023">
        <w:rPr>
          <w:rFonts w:hint="eastAsia"/>
        </w:rPr>
        <w:t>技术框架构建</w:t>
      </w:r>
      <w:r w:rsidR="009B4282" w:rsidRPr="00395023">
        <w:rPr>
          <w:rFonts w:hint="eastAsia"/>
        </w:rPr>
        <w:t>：</w:t>
      </w:r>
      <w:r w:rsidRPr="00395023">
        <w:rPr>
          <w:rFonts w:hint="eastAsia"/>
        </w:rPr>
        <w:t>基于空间</w:t>
      </w:r>
      <w:proofErr w:type="gramStart"/>
      <w:r w:rsidRPr="00395023">
        <w:rPr>
          <w:rFonts w:hint="eastAsia"/>
        </w:rPr>
        <w:t>堆开发</w:t>
      </w:r>
      <w:proofErr w:type="gramEnd"/>
      <w:r w:rsidRPr="00395023">
        <w:rPr>
          <w:rFonts w:hint="eastAsia"/>
        </w:rPr>
        <w:t>经验，整合多学科技术，指定覆盖设计、开发、</w:t>
      </w:r>
      <w:proofErr w:type="gramStart"/>
      <w:r w:rsidRPr="00395023">
        <w:rPr>
          <w:rFonts w:hint="eastAsia"/>
        </w:rPr>
        <w:t>测试全</w:t>
      </w:r>
      <w:proofErr w:type="gramEnd"/>
      <w:r w:rsidRPr="00395023">
        <w:rPr>
          <w:rFonts w:hint="eastAsia"/>
        </w:rPr>
        <w:t>生命周期的标准化流程</w:t>
      </w:r>
    </w:p>
    <w:p w14:paraId="31BE2EA9" w14:textId="5BD30BAF" w:rsidR="009B4282" w:rsidRPr="00395023" w:rsidRDefault="00333904" w:rsidP="009B4282">
      <w:pPr>
        <w:ind w:firstLineChars="200" w:firstLine="480"/>
      </w:pPr>
      <w:r w:rsidRPr="00395023">
        <w:rPr>
          <w:rFonts w:hint="eastAsia"/>
        </w:rPr>
        <w:t>跨单位写作机制</w:t>
      </w:r>
      <w:r w:rsidR="009B4282" w:rsidRPr="00395023">
        <w:rPr>
          <w:rFonts w:hint="eastAsia"/>
        </w:rPr>
        <w:t>：</w:t>
      </w:r>
      <w:r w:rsidRPr="00395023">
        <w:rPr>
          <w:rFonts w:hint="eastAsia"/>
        </w:rPr>
        <w:t>通过定期技术协调会、交叉审核与实验资源共享，确保标准内容的科学性、实用性与行业普适性</w:t>
      </w:r>
    </w:p>
    <w:p w14:paraId="4A741782" w14:textId="7E19CFEB" w:rsidR="00333904" w:rsidRPr="00395023" w:rsidRDefault="00333904" w:rsidP="003C2F3F">
      <w:pPr>
        <w:ind w:firstLineChars="200" w:firstLine="480"/>
      </w:pPr>
      <w:r w:rsidRPr="00395023">
        <w:rPr>
          <w:rFonts w:hint="eastAsia"/>
        </w:rPr>
        <w:t>知识产权与标准化协同：统筹专利技术与标准条款，确保标准合规性并推动技术产业化</w:t>
      </w:r>
    </w:p>
    <w:p w14:paraId="27B78E2D" w14:textId="174572E3" w:rsidR="005E1441" w:rsidRPr="00395023" w:rsidRDefault="005E1441" w:rsidP="005E1441">
      <w:r w:rsidRPr="00395023">
        <w:rPr>
          <w:rFonts w:hint="eastAsia"/>
        </w:rPr>
        <w:lastRenderedPageBreak/>
        <w:t>（</w:t>
      </w:r>
      <w:r w:rsidR="009B4282" w:rsidRPr="00395023">
        <w:t>2</w:t>
      </w:r>
      <w:r w:rsidRPr="00395023">
        <w:rPr>
          <w:rFonts w:hint="eastAsia"/>
        </w:rPr>
        <w:t>）上海市数值反应堆技术融合创新中心</w:t>
      </w:r>
      <w:r w:rsidR="00D56BE5" w:rsidRPr="00395023">
        <w:rPr>
          <w:rFonts w:hint="eastAsia"/>
        </w:rPr>
        <w:t>，参编人员：刘晓晶，宋美琪，柴翔，邢宇</w:t>
      </w:r>
    </w:p>
    <w:p w14:paraId="061291E1" w14:textId="30005C1C" w:rsidR="005E1441" w:rsidRPr="00395023" w:rsidRDefault="005E1441" w:rsidP="005E1441">
      <w:pPr>
        <w:ind w:firstLineChars="200" w:firstLine="480"/>
      </w:pPr>
      <w:r w:rsidRPr="00395023">
        <w:rPr>
          <w:rFonts w:hint="eastAsia"/>
        </w:rPr>
        <w:t>实验验证：设计核反应堆数字样机实验，验证可行性</w:t>
      </w:r>
    </w:p>
    <w:p w14:paraId="7EF0AEAB" w14:textId="1A509AC7" w:rsidR="005E1441" w:rsidRPr="00395023" w:rsidRDefault="005E1441" w:rsidP="005E1441">
      <w:pPr>
        <w:ind w:firstLineChars="200" w:firstLine="480"/>
      </w:pPr>
      <w:r w:rsidRPr="00395023">
        <w:rPr>
          <w:rFonts w:hint="eastAsia"/>
        </w:rPr>
        <w:t>草案框架编写：总结实验结果，形成草案总体框架</w:t>
      </w:r>
    </w:p>
    <w:p w14:paraId="54A1D6AB" w14:textId="0378711D" w:rsidR="005E1441" w:rsidRPr="00395023" w:rsidRDefault="005E1441" w:rsidP="005E1441">
      <w:r w:rsidRPr="00395023">
        <w:rPr>
          <w:rFonts w:hint="eastAsia"/>
        </w:rPr>
        <w:t>（</w:t>
      </w:r>
      <w:r w:rsidR="009B4282" w:rsidRPr="00395023">
        <w:t>3</w:t>
      </w:r>
      <w:r w:rsidRPr="00395023">
        <w:rPr>
          <w:rFonts w:hint="eastAsia"/>
        </w:rPr>
        <w:t>）中国核动力研究设计院</w:t>
      </w:r>
      <w:r w:rsidR="00D05724" w:rsidRPr="00395023">
        <w:rPr>
          <w:rFonts w:hint="eastAsia"/>
        </w:rPr>
        <w:t>，</w:t>
      </w:r>
      <w:r w:rsidR="00D56BE5" w:rsidRPr="00395023">
        <w:rPr>
          <w:rFonts w:hint="eastAsia"/>
        </w:rPr>
        <w:t>参</w:t>
      </w:r>
      <w:r w:rsidR="00D05724" w:rsidRPr="00395023">
        <w:rPr>
          <w:rFonts w:hint="eastAsia"/>
        </w:rPr>
        <w:t>编人员：</w:t>
      </w:r>
      <w:bookmarkStart w:id="6" w:name="_Hlk194589082"/>
      <w:r w:rsidR="00D05724" w:rsidRPr="00395023">
        <w:rPr>
          <w:rFonts w:hint="eastAsia"/>
        </w:rPr>
        <w:t>邓坚，庞勃，曹国海，强胜龙</w:t>
      </w:r>
    </w:p>
    <w:bookmarkEnd w:id="6"/>
    <w:p w14:paraId="149AF94E" w14:textId="0D88613E" w:rsidR="005E1441" w:rsidRPr="00395023" w:rsidRDefault="005E1441" w:rsidP="005E1441">
      <w:pPr>
        <w:ind w:firstLineChars="200" w:firstLine="480"/>
      </w:pPr>
      <w:r w:rsidRPr="00395023">
        <w:t>技术成熟度评估</w:t>
      </w:r>
      <w:r w:rsidRPr="00395023">
        <w:rPr>
          <w:rFonts w:hint="eastAsia"/>
        </w:rPr>
        <w:t>：牵头“技术状态规范”编制，指定技术成熟度分级标准</w:t>
      </w:r>
    </w:p>
    <w:p w14:paraId="74C9B488" w14:textId="5D12FCCB" w:rsidR="005E1441" w:rsidRPr="00395023" w:rsidRDefault="005E1441" w:rsidP="005E1441">
      <w:r w:rsidRPr="00395023">
        <w:rPr>
          <w:rFonts w:hint="eastAsia"/>
        </w:rPr>
        <w:t>（</w:t>
      </w:r>
      <w:r w:rsidR="009B4282" w:rsidRPr="00395023">
        <w:t>4</w:t>
      </w:r>
      <w:r w:rsidRPr="00395023">
        <w:rPr>
          <w:rFonts w:hint="eastAsia"/>
        </w:rPr>
        <w:t>）上海核工程研究设计院股份有限公司</w:t>
      </w:r>
      <w:r w:rsidR="00D56BE5" w:rsidRPr="00395023">
        <w:rPr>
          <w:rFonts w:hint="eastAsia"/>
        </w:rPr>
        <w:t>，参编人员：</w:t>
      </w:r>
      <w:bookmarkStart w:id="7" w:name="_Hlk194589114"/>
      <w:r w:rsidR="00AE7A2E" w:rsidRPr="00395023">
        <w:rPr>
          <w:rFonts w:hint="eastAsia"/>
        </w:rPr>
        <w:t>汤春桃、余建辉、陈康</w:t>
      </w:r>
    </w:p>
    <w:bookmarkEnd w:id="7"/>
    <w:p w14:paraId="5AE82BA4" w14:textId="588BAC3C" w:rsidR="005E1441" w:rsidRPr="00395023" w:rsidRDefault="005E1441" w:rsidP="005E1441">
      <w:pPr>
        <w:ind w:firstLineChars="200" w:firstLine="480"/>
        <w:rPr>
          <w:rFonts w:ascii="Segoe UI" w:hAnsi="Segoe UI" w:cs="Segoe UI"/>
        </w:rPr>
      </w:pPr>
      <w:r w:rsidRPr="00395023">
        <w:t>用户交互设计</w:t>
      </w:r>
      <w:r w:rsidR="00F06036" w:rsidRPr="00395023">
        <w:rPr>
          <w:rFonts w:hint="eastAsia"/>
        </w:rPr>
        <w:t>编制</w:t>
      </w:r>
      <w:r w:rsidRPr="00395023">
        <w:rPr>
          <w:rFonts w:hint="eastAsia"/>
        </w:rPr>
        <w:t>：主导</w:t>
      </w:r>
      <w:r w:rsidR="005A5D58" w:rsidRPr="00395023">
        <w:rPr>
          <w:rFonts w:hint="eastAsia"/>
        </w:rPr>
        <w:t>“</w:t>
      </w:r>
      <w:r w:rsidRPr="00395023">
        <w:rPr>
          <w:rFonts w:ascii="Segoe UI" w:hAnsi="Segoe UI" w:cs="Segoe UI"/>
        </w:rPr>
        <w:t>工艺样机用户界面规范</w:t>
      </w:r>
      <w:r w:rsidR="005A5D58" w:rsidRPr="00395023">
        <w:rPr>
          <w:rFonts w:ascii="Segoe UI" w:hAnsi="Segoe UI" w:cs="Segoe UI" w:hint="eastAsia"/>
        </w:rPr>
        <w:t>”编制，基于核电工程设计经验，编制数字样机与实际工程场景的适配性内容</w:t>
      </w:r>
    </w:p>
    <w:p w14:paraId="19096AE4" w14:textId="6ED03148" w:rsidR="005E1441" w:rsidRPr="00395023" w:rsidRDefault="005E1441" w:rsidP="005E1441">
      <w:r w:rsidRPr="00395023">
        <w:rPr>
          <w:rFonts w:hint="eastAsia"/>
        </w:rPr>
        <w:t>（</w:t>
      </w:r>
      <w:r w:rsidR="009B4282" w:rsidRPr="00395023">
        <w:t>5</w:t>
      </w:r>
      <w:r w:rsidRPr="00395023">
        <w:rPr>
          <w:rFonts w:hint="eastAsia"/>
        </w:rPr>
        <w:t>）国家电投集团科学技术研究院有限公司</w:t>
      </w:r>
      <w:r w:rsidR="00D56BE5" w:rsidRPr="00395023">
        <w:rPr>
          <w:rFonts w:hint="eastAsia"/>
        </w:rPr>
        <w:t>，参编人员：</w:t>
      </w:r>
      <w:bookmarkStart w:id="8" w:name="_Hlk194589125"/>
      <w:r w:rsidR="00D56BE5" w:rsidRPr="00395023">
        <w:rPr>
          <w:rFonts w:hint="eastAsia"/>
        </w:rPr>
        <w:t>李林森，邢勉，孙培栋</w:t>
      </w:r>
    </w:p>
    <w:bookmarkEnd w:id="8"/>
    <w:p w14:paraId="3C3F3F2E" w14:textId="1267F0C2" w:rsidR="005E1441" w:rsidRPr="00395023" w:rsidRDefault="005E1441">
      <w:pPr>
        <w:ind w:firstLineChars="200" w:firstLine="480"/>
      </w:pPr>
      <w:r w:rsidRPr="00395023">
        <w:t>专利与知识产权管理：协调标准中涉及专利的技术条款</w:t>
      </w:r>
      <w:r w:rsidR="00E55BDC" w:rsidRPr="00395023">
        <w:rPr>
          <w:rFonts w:hint="eastAsia"/>
        </w:rPr>
        <w:t>，确保标准的科学性与合</w:t>
      </w:r>
      <w:proofErr w:type="gramStart"/>
      <w:r w:rsidR="00E55BDC" w:rsidRPr="00395023">
        <w:rPr>
          <w:rFonts w:hint="eastAsia"/>
        </w:rPr>
        <w:t>规</w:t>
      </w:r>
      <w:proofErr w:type="gramEnd"/>
      <w:r w:rsidR="00E55BDC" w:rsidRPr="00395023">
        <w:rPr>
          <w:rFonts w:hint="eastAsia"/>
        </w:rPr>
        <w:t>性</w:t>
      </w:r>
    </w:p>
    <w:p w14:paraId="3336323B" w14:textId="6F62B18E" w:rsidR="005E1441" w:rsidRPr="00395023" w:rsidRDefault="005E1441" w:rsidP="005E1441">
      <w:r w:rsidRPr="00395023">
        <w:rPr>
          <w:rFonts w:hint="eastAsia"/>
        </w:rPr>
        <w:t>（</w:t>
      </w:r>
      <w:r w:rsidR="009B4282" w:rsidRPr="00395023">
        <w:t>6</w:t>
      </w:r>
      <w:r w:rsidRPr="00395023">
        <w:rPr>
          <w:rFonts w:hint="eastAsia"/>
        </w:rPr>
        <w:t>）中国核电工程有限公司</w:t>
      </w:r>
      <w:r w:rsidR="00B17410" w:rsidRPr="00395023">
        <w:rPr>
          <w:rFonts w:hint="eastAsia"/>
        </w:rPr>
        <w:t>，</w:t>
      </w:r>
      <w:r w:rsidR="00D56BE5" w:rsidRPr="00395023">
        <w:rPr>
          <w:rFonts w:hint="eastAsia"/>
        </w:rPr>
        <w:t>参编人员：</w:t>
      </w:r>
      <w:bookmarkStart w:id="9" w:name="_Hlk194589148"/>
      <w:r w:rsidR="00B17410" w:rsidRPr="00395023">
        <w:rPr>
          <w:rFonts w:hint="eastAsia"/>
        </w:rPr>
        <w:t>刘国明</w:t>
      </w:r>
      <w:r w:rsidR="00D56BE5" w:rsidRPr="00395023">
        <w:rPr>
          <w:rFonts w:hint="eastAsia"/>
        </w:rPr>
        <w:t>，</w:t>
      </w:r>
      <w:r w:rsidR="00B17410" w:rsidRPr="00395023">
        <w:t>张鹏</w:t>
      </w:r>
      <w:bookmarkEnd w:id="9"/>
    </w:p>
    <w:p w14:paraId="51AFFF8D" w14:textId="69D1A169" w:rsidR="005E1441" w:rsidRPr="00395023" w:rsidRDefault="005E1441" w:rsidP="005E1441">
      <w:pPr>
        <w:ind w:firstLineChars="200" w:firstLine="480"/>
      </w:pPr>
      <w:r w:rsidRPr="00395023">
        <w:t>操作培训与实施指南：制定数字样机在核电站培训中的应用规范</w:t>
      </w:r>
    </w:p>
    <w:p w14:paraId="2457E4BA" w14:textId="77777777" w:rsidR="005E1441" w:rsidRPr="00395023" w:rsidRDefault="005E1441" w:rsidP="005E1441">
      <w:pPr>
        <w:ind w:firstLineChars="200" w:firstLine="480"/>
      </w:pPr>
    </w:p>
    <w:p w14:paraId="20D5FDF0" w14:textId="54832B5B" w:rsidR="00FB6407" w:rsidRPr="00395023" w:rsidRDefault="00FB6407" w:rsidP="006633BA">
      <w:pPr>
        <w:outlineLvl w:val="0"/>
        <w:rPr>
          <w:b/>
          <w:sz w:val="28"/>
          <w:szCs w:val="28"/>
        </w:rPr>
      </w:pPr>
      <w:r w:rsidRPr="00395023">
        <w:rPr>
          <w:rFonts w:hint="eastAsia"/>
          <w:b/>
          <w:sz w:val="28"/>
          <w:szCs w:val="28"/>
        </w:rPr>
        <w:t>二、标准编制原则和主要内容</w:t>
      </w:r>
    </w:p>
    <w:p w14:paraId="47233154" w14:textId="0F681A68" w:rsidR="00FB6407" w:rsidRPr="00395023" w:rsidRDefault="00FB6407" w:rsidP="00FB6407">
      <w:pPr>
        <w:rPr>
          <w:b/>
        </w:rPr>
      </w:pPr>
      <w:r w:rsidRPr="00395023">
        <w:rPr>
          <w:rFonts w:hint="eastAsia"/>
          <w:b/>
        </w:rPr>
        <w:t>1、标准编制原则</w:t>
      </w:r>
    </w:p>
    <w:p w14:paraId="18411648" w14:textId="5420833B" w:rsidR="00124F06" w:rsidRPr="00395023" w:rsidRDefault="00124F06" w:rsidP="00124F06">
      <w:pPr>
        <w:ind w:firstLineChars="200" w:firstLine="480"/>
      </w:pPr>
      <w:r w:rsidRPr="00395023">
        <w:t>本文件《核反应堆数字样机设计构建通用规范》的制定，旨在推动核能行业数字化转型，规范核反应堆数字样机设计、构建及评估的全流程技术要求，提升核反应堆研发效率和安全性。编制工作严格遵循以下原则：</w:t>
      </w:r>
    </w:p>
    <w:p w14:paraId="36145891" w14:textId="5797D9C0" w:rsidR="00124F06" w:rsidRPr="00395023" w:rsidRDefault="00124F06" w:rsidP="00A1417C">
      <w:r w:rsidRPr="00395023">
        <w:rPr>
          <w:rFonts w:hint="eastAsia"/>
        </w:rPr>
        <w:t>（1）</w:t>
      </w:r>
      <w:r w:rsidRPr="00395023">
        <w:t>先进性</w:t>
      </w:r>
      <w:r w:rsidR="00A1417C">
        <w:rPr>
          <w:rFonts w:hint="eastAsia"/>
        </w:rPr>
        <w:t>：</w:t>
      </w:r>
    </w:p>
    <w:p w14:paraId="57E431F7" w14:textId="0A8A98E8" w:rsidR="00124F06" w:rsidRPr="00395023" w:rsidRDefault="00124F06" w:rsidP="00124F06">
      <w:pPr>
        <w:ind w:firstLineChars="200" w:firstLine="480"/>
      </w:pPr>
      <w:r w:rsidRPr="00395023">
        <w:t>融合国际前沿数字样机技术理念（如多物理模型集成、模块化构建等），体现</w:t>
      </w:r>
      <w:r w:rsidR="00EA6E6B" w:rsidRPr="00395023">
        <w:rPr>
          <w:rFonts w:hint="eastAsia"/>
        </w:rPr>
        <w:t>二代、三代压水堆、第四代核能系统以及模块化小型反应堆等多种核反应堆类型</w:t>
      </w:r>
      <w:r w:rsidRPr="00395023">
        <w:t>的创新需求；</w:t>
      </w:r>
    </w:p>
    <w:p w14:paraId="308168B9" w14:textId="778977BC" w:rsidR="00124F06" w:rsidRPr="00395023" w:rsidRDefault="00124F06" w:rsidP="00A1417C">
      <w:r w:rsidRPr="00395023">
        <w:rPr>
          <w:rFonts w:hint="eastAsia"/>
        </w:rPr>
        <w:t>（2）</w:t>
      </w:r>
      <w:r w:rsidRPr="00395023">
        <w:t>科学性</w:t>
      </w:r>
      <w:r w:rsidR="00A1417C">
        <w:rPr>
          <w:rFonts w:hint="eastAsia"/>
        </w:rPr>
        <w:t>：</w:t>
      </w:r>
    </w:p>
    <w:p w14:paraId="685DAF23" w14:textId="0218B767" w:rsidR="00124F06" w:rsidRPr="00395023" w:rsidRDefault="00124F06" w:rsidP="00124F06">
      <w:pPr>
        <w:ind w:firstLineChars="200" w:firstLine="480"/>
      </w:pPr>
      <w:r w:rsidRPr="00395023">
        <w:t>基于实测数据验证与多学科理论支撑，确保技术指标的严谨性；引用GB/T 26100《机械产品数字样机通用要求》等国家标准，确保术语定义、构建框架的权威性；集成中子物理、热工水力等多学科模型（见第4.</w:t>
      </w:r>
      <w:r w:rsidR="002B7311" w:rsidRPr="00395023">
        <w:t>4</w:t>
      </w:r>
      <w:r w:rsidRPr="00395023">
        <w:t>.1条“多物理模型</w:t>
      </w:r>
      <w:r w:rsidRPr="00395023">
        <w:lastRenderedPageBreak/>
        <w:t>集成性”），通过跨学科协同验证提升模拟准确性；技术成熟度评估采用分级量化指标（第9.1条），结合专家评审与实证数据，避免主观判断偏差</w:t>
      </w:r>
      <w:r w:rsidRPr="00395023">
        <w:rPr>
          <w:rFonts w:hint="eastAsia"/>
        </w:rPr>
        <w:t>；</w:t>
      </w:r>
    </w:p>
    <w:p w14:paraId="4D463681" w14:textId="6FC35118" w:rsidR="00124F06" w:rsidRPr="00395023" w:rsidRDefault="00124F06" w:rsidP="00A1417C">
      <w:r w:rsidRPr="00395023">
        <w:rPr>
          <w:rFonts w:hint="eastAsia"/>
        </w:rPr>
        <w:t>（3）</w:t>
      </w:r>
      <w:r w:rsidRPr="00395023">
        <w:t>协调性</w:t>
      </w:r>
      <w:r w:rsidR="00A1417C">
        <w:rPr>
          <w:rFonts w:hint="eastAsia"/>
        </w:rPr>
        <w:t>：</w:t>
      </w:r>
    </w:p>
    <w:p w14:paraId="6D14CCD2" w14:textId="147591DE" w:rsidR="00124F06" w:rsidRPr="00395023" w:rsidRDefault="00124F06">
      <w:pPr>
        <w:ind w:firstLineChars="200" w:firstLine="480"/>
      </w:pPr>
      <w:r w:rsidRPr="00395023">
        <w:t>与现行国家标准（GB/T 26100、GB/T 13629等）及国际标准接轨，避免技术冲突；</w:t>
      </w:r>
      <w:r w:rsidR="009B30A4" w:rsidRPr="00395023">
        <w:t>术语定义参考国际原子能机构（IAEA）技术报告</w:t>
      </w:r>
      <w:r w:rsidR="00103CC7" w:rsidRPr="00395023">
        <w:rPr>
          <w:rFonts w:hint="eastAsia"/>
        </w:rPr>
        <w:t>《</w:t>
      </w:r>
      <w:r w:rsidR="00103CC7" w:rsidRPr="00395023">
        <w:t>Considerations of Technology Readiness Levels for Fusion Technology Components</w:t>
      </w:r>
      <w:r w:rsidR="00103CC7" w:rsidRPr="00395023">
        <w:rPr>
          <w:rFonts w:hint="eastAsia"/>
        </w:rPr>
        <w:t>》</w:t>
      </w:r>
      <w:r w:rsidR="009B30A4" w:rsidRPr="00395023">
        <w:t>，如“技术成熟度（TRL）”分级体系（第3.5条）；数据安全与隐私管理要求（第7.2.3条）符合ISO/IEC 27001信息安全管理标准</w:t>
      </w:r>
      <w:r w:rsidR="009B30A4" w:rsidRPr="00395023">
        <w:rPr>
          <w:rFonts w:hint="eastAsia"/>
        </w:rPr>
        <w:t>；</w:t>
      </w:r>
    </w:p>
    <w:p w14:paraId="1F711693" w14:textId="330AF1D7" w:rsidR="00124F06" w:rsidRPr="00395023" w:rsidRDefault="00124F06" w:rsidP="00A1417C">
      <w:r w:rsidRPr="00395023">
        <w:rPr>
          <w:rFonts w:hint="eastAsia"/>
        </w:rPr>
        <w:t>（4）</w:t>
      </w:r>
      <w:r w:rsidRPr="00395023">
        <w:t>实用性</w:t>
      </w:r>
      <w:r w:rsidR="00A1417C">
        <w:rPr>
          <w:rFonts w:hint="eastAsia"/>
        </w:rPr>
        <w:t>：</w:t>
      </w:r>
    </w:p>
    <w:p w14:paraId="52027ED6" w14:textId="0940A9F6" w:rsidR="00124F06" w:rsidRPr="00395023" w:rsidRDefault="00124F06" w:rsidP="00124F06">
      <w:pPr>
        <w:ind w:firstLineChars="200" w:firstLine="480"/>
      </w:pPr>
      <w:r w:rsidRPr="00395023">
        <w:t>明确具体操作规范，覆盖设计、开发、</w:t>
      </w:r>
      <w:proofErr w:type="gramStart"/>
      <w:r w:rsidRPr="00395023">
        <w:t>测试全</w:t>
      </w:r>
      <w:proofErr w:type="gramEnd"/>
      <w:r w:rsidRPr="00395023">
        <w:t>生命周期，确保标准落地可行；</w:t>
      </w:r>
      <w:r w:rsidR="002B3962" w:rsidRPr="00395023">
        <w:t>明确数字样机构建层次（第4.1条）、模块化</w:t>
      </w:r>
      <w:r w:rsidR="00020385" w:rsidRPr="00395023">
        <w:rPr>
          <w:rFonts w:hint="eastAsia"/>
        </w:rPr>
        <w:t>构建</w:t>
      </w:r>
      <w:r w:rsidR="002B3962" w:rsidRPr="00395023">
        <w:t>规则（第7.1条），指导开发团队分工协作；制定基准测试、用户体验</w:t>
      </w:r>
      <w:r w:rsidR="00020385" w:rsidRPr="00395023">
        <w:rPr>
          <w:rFonts w:hint="eastAsia"/>
        </w:rPr>
        <w:t>和可用性</w:t>
      </w:r>
      <w:r w:rsidR="002B3962" w:rsidRPr="00395023">
        <w:t>评估等标准化流程（第8.3-8.5条），减少执行随意性；规定版本控制、用户培训等更新要求（第9.2条），确保系统持续可用</w:t>
      </w:r>
      <w:r w:rsidR="002B3962" w:rsidRPr="00395023">
        <w:rPr>
          <w:rFonts w:hint="eastAsia"/>
        </w:rPr>
        <w:t>；</w:t>
      </w:r>
    </w:p>
    <w:p w14:paraId="7B04A40E" w14:textId="45ECA324" w:rsidR="00124F06" w:rsidRPr="00395023" w:rsidRDefault="00124F06" w:rsidP="00A1417C">
      <w:r w:rsidRPr="00395023">
        <w:rPr>
          <w:rFonts w:hint="eastAsia"/>
        </w:rPr>
        <w:t>（5）</w:t>
      </w:r>
      <w:r w:rsidRPr="00395023">
        <w:t>规范性</w:t>
      </w:r>
      <w:r w:rsidR="00A1417C">
        <w:rPr>
          <w:rFonts w:hint="eastAsia"/>
        </w:rPr>
        <w:t>：</w:t>
      </w:r>
    </w:p>
    <w:p w14:paraId="1D89495D" w14:textId="75FAC60A" w:rsidR="00124F06" w:rsidRPr="00395023" w:rsidRDefault="00124F06" w:rsidP="002B3962">
      <w:pPr>
        <w:ind w:firstLineChars="200" w:firstLine="480"/>
      </w:pPr>
      <w:r w:rsidRPr="00395023">
        <w:t>严格遵循GB/T 1.1—2020《标准化工作导则》的编写规则，保证文本结构与表述统一</w:t>
      </w:r>
      <w:r w:rsidR="002B3962" w:rsidRPr="00395023">
        <w:rPr>
          <w:rFonts w:hint="eastAsia"/>
        </w:rPr>
        <w:t>；</w:t>
      </w:r>
      <w:r w:rsidR="007D0892" w:rsidRPr="00395023">
        <w:rPr>
          <w:rFonts w:hint="eastAsia"/>
        </w:rPr>
        <w:t>由</w:t>
      </w:r>
      <w:r w:rsidR="007D0892" w:rsidRPr="00395023">
        <w:t>上海交通大学牵头</w:t>
      </w:r>
      <w:r w:rsidR="002B3962" w:rsidRPr="00395023">
        <w:t>成立跨单位起草工作组，通过多轮技术审查与意见征集完善草案；公开征求意见范围覆盖设计院、运营商、监管部门等全产业链主体；</w:t>
      </w:r>
      <w:r w:rsidR="00D84EFA" w:rsidRPr="00395023">
        <w:rPr>
          <w:rFonts w:hint="eastAsia"/>
        </w:rPr>
        <w:t>编制说明中给出制定标准过程中所设计的专利</w:t>
      </w:r>
      <w:r w:rsidR="002B3962" w:rsidRPr="00395023">
        <w:t>，规避潜在法律风险</w:t>
      </w:r>
    </w:p>
    <w:p w14:paraId="00EE86BE" w14:textId="2978280D" w:rsidR="00FB6407" w:rsidRPr="00395023" w:rsidRDefault="00FB6407" w:rsidP="00FB6407">
      <w:pPr>
        <w:rPr>
          <w:b/>
        </w:rPr>
      </w:pPr>
      <w:r w:rsidRPr="00395023">
        <w:rPr>
          <w:rFonts w:hint="eastAsia"/>
          <w:b/>
        </w:rPr>
        <w:t>2、标准主要内容的依据</w:t>
      </w:r>
    </w:p>
    <w:p w14:paraId="3F4D083C" w14:textId="308C5735" w:rsidR="008F4FB9" w:rsidRPr="00395023" w:rsidRDefault="008F4FB9" w:rsidP="008F4FB9">
      <w:pPr>
        <w:ind w:firstLineChars="200" w:firstLine="480"/>
      </w:pPr>
      <w:r w:rsidRPr="00395023">
        <w:t>本文件在技术内容与结构编排上严格遵循 GB/T 1.1-20</w:t>
      </w:r>
      <w:r w:rsidR="00EA3B20" w:rsidRPr="00395023">
        <w:t>20</w:t>
      </w:r>
      <w:r w:rsidRPr="00395023">
        <w:t>《标准化工作导则 第1部分：标准的结构和编写》的格式要求，同时结合核能行业特点与数字样机技术需求，各章节内容的主要依据如下：</w:t>
      </w:r>
    </w:p>
    <w:p w14:paraId="396630BC" w14:textId="0BEAFC7B" w:rsidR="008F4FB9" w:rsidRPr="00395023" w:rsidRDefault="008F4FB9" w:rsidP="00A1417C">
      <w:r w:rsidRPr="00395023">
        <w:rPr>
          <w:rFonts w:hint="eastAsia"/>
        </w:rPr>
        <w:t>（1）</w:t>
      </w:r>
      <w:r w:rsidRPr="00395023">
        <w:t>范围（第1章）</w:t>
      </w:r>
    </w:p>
    <w:p w14:paraId="6021CA10" w14:textId="2FFE60A0" w:rsidR="008F4FB9" w:rsidRPr="00395023" w:rsidRDefault="008F4FB9" w:rsidP="008F4FB9">
      <w:pPr>
        <w:ind w:firstLineChars="200" w:firstLine="480"/>
      </w:pPr>
      <w:r w:rsidRPr="00395023">
        <w:t>参考GB/T 26100-2010《机械产品数字样机通用要求》中关于适用范围的界定；</w:t>
      </w:r>
    </w:p>
    <w:p w14:paraId="0B51A0C2" w14:textId="77777777" w:rsidR="008F4FB9" w:rsidRPr="00395023" w:rsidRDefault="008F4FB9" w:rsidP="008F4FB9">
      <w:pPr>
        <w:ind w:firstLineChars="200" w:firstLine="480"/>
      </w:pPr>
      <w:r w:rsidRPr="00395023">
        <w:t>结合核反应堆类型多样性（二代至四代压水堆、模块化小型堆）的实际需求，明确标准覆盖范围。</w:t>
      </w:r>
    </w:p>
    <w:p w14:paraId="5590D6E4" w14:textId="1910CF07" w:rsidR="008F4FB9" w:rsidRPr="00395023" w:rsidRDefault="008F4FB9" w:rsidP="00A1417C">
      <w:r w:rsidRPr="00395023">
        <w:rPr>
          <w:rFonts w:hint="eastAsia"/>
        </w:rPr>
        <w:lastRenderedPageBreak/>
        <w:t>（</w:t>
      </w:r>
      <w:r w:rsidRPr="00395023">
        <w:t>2</w:t>
      </w:r>
      <w:r w:rsidRPr="00395023">
        <w:rPr>
          <w:rFonts w:hint="eastAsia"/>
        </w:rPr>
        <w:t>）</w:t>
      </w:r>
      <w:r w:rsidRPr="00395023">
        <w:t>规范性引用文件（第2章）</w:t>
      </w:r>
    </w:p>
    <w:p w14:paraId="3E21196E" w14:textId="12FA638C" w:rsidR="008F4FB9" w:rsidRPr="00395023" w:rsidRDefault="008F4FB9" w:rsidP="008F4FB9">
      <w:pPr>
        <w:ind w:firstLineChars="200" w:firstLine="480"/>
      </w:pPr>
      <w:r w:rsidRPr="00395023">
        <w:t>直接引用核能领域关键标准GB/T 13629-</w:t>
      </w:r>
      <w:r w:rsidR="003B7FA4" w:rsidRPr="00395023">
        <w:t>2023</w:t>
      </w:r>
      <w:r w:rsidRPr="00395023">
        <w:t>《核电厂安全系统中数字计算机的适用准则》，确保数字样机安全设计合规性；</w:t>
      </w:r>
    </w:p>
    <w:p w14:paraId="16D9609D" w14:textId="0827F74E" w:rsidR="008F4FB9" w:rsidRPr="00395023" w:rsidRDefault="008F4FB9" w:rsidP="008F4FB9">
      <w:pPr>
        <w:ind w:firstLineChars="200" w:firstLine="480"/>
      </w:pPr>
      <w:r w:rsidRPr="00395023">
        <w:t>引用机械行业通用标准GB/T 26100-2010，规范数字样机基础技术要求。</w:t>
      </w:r>
    </w:p>
    <w:p w14:paraId="2C5C1DBC" w14:textId="1CE9D023" w:rsidR="008F4FB9" w:rsidRPr="00395023" w:rsidRDefault="008F4FB9" w:rsidP="00A1417C">
      <w:r w:rsidRPr="00395023">
        <w:rPr>
          <w:rFonts w:hint="eastAsia"/>
        </w:rPr>
        <w:t>（</w:t>
      </w:r>
      <w:r w:rsidRPr="00395023">
        <w:t>3</w:t>
      </w:r>
      <w:r w:rsidRPr="00395023">
        <w:rPr>
          <w:rFonts w:hint="eastAsia"/>
        </w:rPr>
        <w:t>）</w:t>
      </w:r>
      <w:r w:rsidRPr="00395023">
        <w:t>术语和定义（第3章）</w:t>
      </w:r>
    </w:p>
    <w:p w14:paraId="0648DE08" w14:textId="455E8D40" w:rsidR="008F4FB9" w:rsidRPr="00395023" w:rsidRDefault="008F4FB9" w:rsidP="008F4FB9">
      <w:pPr>
        <w:ind w:firstLineChars="200" w:firstLine="480"/>
      </w:pPr>
      <w:r w:rsidRPr="00395023">
        <w:t>术语定义以GB/T 26100-2010为基础，补充核反应堆专用术语（如“工艺样机”“性能样机”）；</w:t>
      </w:r>
    </w:p>
    <w:p w14:paraId="347A90E1" w14:textId="3DC0A685" w:rsidR="008F4FB9" w:rsidRPr="00395023" w:rsidRDefault="008F4FB9" w:rsidP="008F4FB9">
      <w:pPr>
        <w:ind w:firstLineChars="200" w:firstLine="480"/>
      </w:pPr>
      <w:r w:rsidRPr="00395023">
        <w:t>“技术成熟度（TRL）”概念参考国际原子能机构（IAEA）技术报告的分级体系。</w:t>
      </w:r>
    </w:p>
    <w:p w14:paraId="5D14D583" w14:textId="609A5384" w:rsidR="008F4FB9" w:rsidRPr="00395023" w:rsidRDefault="008F4FB9" w:rsidP="00A1417C">
      <w:r w:rsidRPr="00395023">
        <w:rPr>
          <w:rFonts w:hint="eastAsia"/>
        </w:rPr>
        <w:t>（</w:t>
      </w:r>
      <w:r w:rsidRPr="00395023">
        <w:t>4</w:t>
      </w:r>
      <w:r w:rsidRPr="00395023">
        <w:rPr>
          <w:rFonts w:hint="eastAsia"/>
        </w:rPr>
        <w:t>）</w:t>
      </w:r>
      <w:r w:rsidRPr="00395023">
        <w:t>一般性规范（第4章）</w:t>
      </w:r>
    </w:p>
    <w:p w14:paraId="2CE755AF" w14:textId="2A79532D" w:rsidR="008F4FB9" w:rsidRPr="00395023" w:rsidRDefault="008F4FB9">
      <w:pPr>
        <w:ind w:firstLineChars="200" w:firstLine="480"/>
      </w:pPr>
      <w:r w:rsidRPr="00395023">
        <w:t>分层架构（展现层、功能层等）参考ISO/IEC/IEEE 42010《</w:t>
      </w:r>
      <w:r w:rsidR="00FD3AD9" w:rsidRPr="00395023">
        <w:t>International Standard for Software, systems and enterprise--Architecture description</w:t>
      </w:r>
      <w:r w:rsidRPr="00395023">
        <w:t>》的系统分层模型；</w:t>
      </w:r>
    </w:p>
    <w:p w14:paraId="41CED2D9" w14:textId="0457FA2C" w:rsidR="008F4FB9" w:rsidRPr="00395023" w:rsidRDefault="008F4FB9" w:rsidP="008F4FB9">
      <w:pPr>
        <w:ind w:firstLineChars="200" w:firstLine="480"/>
      </w:pPr>
      <w:r w:rsidRPr="00395023">
        <w:t>多物理模型集成性要求基于国际核能仿真联盟（NESC）提出的多学科耦合方法论。</w:t>
      </w:r>
    </w:p>
    <w:p w14:paraId="5BECC434" w14:textId="6F222945" w:rsidR="00D70654" w:rsidRPr="00395023" w:rsidRDefault="00D70654" w:rsidP="008F4FB9">
      <w:pPr>
        <w:ind w:firstLineChars="200" w:firstLine="480"/>
      </w:pPr>
      <w:r w:rsidRPr="00395023">
        <w:t>本标准中"一般性"特指"跨样机类型的共性要求"（如第4.4.1多物理模型集成），与"工艺/性能样机"专项条款形成明确逻辑层级，术语内涵清晰</w:t>
      </w:r>
      <w:r w:rsidRPr="00395023">
        <w:rPr>
          <w:rFonts w:hint="eastAsia"/>
        </w:rPr>
        <w:t>。</w:t>
      </w:r>
    </w:p>
    <w:p w14:paraId="367BA91F" w14:textId="1D5ACD83" w:rsidR="008F4FB9" w:rsidRPr="00395023" w:rsidRDefault="008F4FB9" w:rsidP="00A1417C">
      <w:r w:rsidRPr="00395023">
        <w:rPr>
          <w:rFonts w:hint="eastAsia"/>
        </w:rPr>
        <w:t>（</w:t>
      </w:r>
      <w:r w:rsidRPr="00395023">
        <w:t>5</w:t>
      </w:r>
      <w:r w:rsidRPr="00395023">
        <w:rPr>
          <w:rFonts w:hint="eastAsia"/>
        </w:rPr>
        <w:t>）</w:t>
      </w:r>
      <w:r w:rsidRPr="00395023">
        <w:t>工艺样机与性能样机规范（第5-6章）</w:t>
      </w:r>
    </w:p>
    <w:p w14:paraId="326D7344" w14:textId="64E3F18B" w:rsidR="008F4FB9" w:rsidRPr="00395023" w:rsidRDefault="008F4FB9" w:rsidP="008F4FB9">
      <w:pPr>
        <w:ind w:firstLineChars="200" w:firstLine="480"/>
      </w:pPr>
      <w:r w:rsidRPr="00395023">
        <w:t>几何物理特性精确模拟要求借鉴ASME V&amp;V</w:t>
      </w:r>
      <w:r w:rsidRPr="00395023">
        <w:rPr>
          <w:rFonts w:hint="eastAsia"/>
        </w:rPr>
        <w:t>.</w:t>
      </w:r>
      <w:r w:rsidRPr="00395023">
        <w:t>20《仿真模型验证与确认标准》；</w:t>
      </w:r>
    </w:p>
    <w:p w14:paraId="2BEBC82D" w14:textId="0B78B5C0" w:rsidR="008F4FB9" w:rsidRPr="00395023" w:rsidRDefault="008F4FB9" w:rsidP="008F4FB9">
      <w:pPr>
        <w:ind w:firstLineChars="200" w:firstLine="480"/>
      </w:pPr>
      <w:r w:rsidRPr="00395023">
        <w:t>安全系统模拟与故障诊断条款依据《核电厂</w:t>
      </w:r>
      <w:r w:rsidR="00FD6358" w:rsidRPr="00395023">
        <w:rPr>
          <w:rFonts w:hint="eastAsia"/>
        </w:rPr>
        <w:t>质量保证安全规定</w:t>
      </w:r>
      <w:r w:rsidRPr="00395023">
        <w:t>》（HAF 003）的事故场景分析要求。</w:t>
      </w:r>
    </w:p>
    <w:p w14:paraId="0F6B4356" w14:textId="538DD11C" w:rsidR="008F4FB9" w:rsidRPr="00395023" w:rsidRDefault="008F4FB9" w:rsidP="00A1417C">
      <w:r w:rsidRPr="00395023">
        <w:rPr>
          <w:rFonts w:hint="eastAsia"/>
        </w:rPr>
        <w:t>（</w:t>
      </w:r>
      <w:r w:rsidRPr="00395023">
        <w:t>6</w:t>
      </w:r>
      <w:r w:rsidRPr="00395023">
        <w:rPr>
          <w:rFonts w:hint="eastAsia"/>
        </w:rPr>
        <w:t>）</w:t>
      </w:r>
      <w:r w:rsidRPr="00395023">
        <w:t>构建规范（第7章）</w:t>
      </w:r>
    </w:p>
    <w:p w14:paraId="0ACAC1F9" w14:textId="19E6FDFE" w:rsidR="008F4FB9" w:rsidRPr="00395023" w:rsidRDefault="008F4FB9">
      <w:pPr>
        <w:ind w:firstLineChars="200" w:firstLine="480"/>
      </w:pPr>
      <w:r w:rsidRPr="00395023">
        <w:t>模块化构建原则参考IEEE 24765《</w:t>
      </w:r>
      <w:r w:rsidR="00CE478B" w:rsidRPr="00395023">
        <w:t>International Standard - Systems and software engineering--Vocabulary</w:t>
      </w:r>
      <w:r w:rsidRPr="00395023">
        <w:t>》；</w:t>
      </w:r>
    </w:p>
    <w:p w14:paraId="121A5B63" w14:textId="0AD26E8A" w:rsidR="008F4FB9" w:rsidRPr="00395023" w:rsidRDefault="008F4FB9" w:rsidP="00A1417C">
      <w:r w:rsidRPr="00395023">
        <w:rPr>
          <w:rFonts w:hint="eastAsia"/>
        </w:rPr>
        <w:t>（</w:t>
      </w:r>
      <w:r w:rsidRPr="00395023">
        <w:t>7</w:t>
      </w:r>
      <w:r w:rsidRPr="00395023">
        <w:rPr>
          <w:rFonts w:hint="eastAsia"/>
        </w:rPr>
        <w:t>）</w:t>
      </w:r>
      <w:r w:rsidRPr="00395023">
        <w:t>测试与评估规范（第8章）</w:t>
      </w:r>
    </w:p>
    <w:p w14:paraId="1BCAD36C" w14:textId="6C7E7F4F" w:rsidR="008F4FB9" w:rsidRPr="00395023" w:rsidRDefault="008F4FB9">
      <w:pPr>
        <w:ind w:firstLineChars="200" w:firstLine="480"/>
      </w:pPr>
      <w:r w:rsidRPr="00395023">
        <w:t>安全性能测试方法引用IAEA安全导则NS-G-1.2《</w:t>
      </w:r>
      <w:r w:rsidR="0050490F" w:rsidRPr="00395023">
        <w:t>Safety Assessment and Verification for Nuclear Power Plants</w:t>
      </w:r>
      <w:r w:rsidRPr="00395023">
        <w:t>》的验证要求；</w:t>
      </w:r>
    </w:p>
    <w:p w14:paraId="4F1DA01D" w14:textId="2A16BC16" w:rsidR="008F4FB9" w:rsidRPr="00395023" w:rsidRDefault="008F4FB9" w:rsidP="008F4FB9">
      <w:pPr>
        <w:ind w:firstLineChars="200" w:firstLine="480"/>
      </w:pPr>
      <w:r w:rsidRPr="00395023">
        <w:lastRenderedPageBreak/>
        <w:t>用户体验评估参考ISO 9241-210《</w:t>
      </w:r>
      <w:r w:rsidR="00D90024" w:rsidRPr="00395023">
        <w:t>Ergonomics of human-system interaction</w:t>
      </w:r>
      <w:r w:rsidRPr="00395023">
        <w:t>》的可用性测试框架。</w:t>
      </w:r>
    </w:p>
    <w:p w14:paraId="3E94561F" w14:textId="76CD08CC" w:rsidR="008F4FB9" w:rsidRPr="00395023" w:rsidRDefault="008F4FB9" w:rsidP="00A1417C">
      <w:r w:rsidRPr="00395023">
        <w:rPr>
          <w:rFonts w:hint="eastAsia"/>
        </w:rPr>
        <w:t>（</w:t>
      </w:r>
      <w:r w:rsidRPr="00395023">
        <w:t>8</w:t>
      </w:r>
      <w:r w:rsidRPr="00395023">
        <w:rPr>
          <w:rFonts w:hint="eastAsia"/>
        </w:rPr>
        <w:t>）</w:t>
      </w:r>
      <w:r w:rsidRPr="00395023">
        <w:t>技术状态规范（第9章）</w:t>
      </w:r>
    </w:p>
    <w:p w14:paraId="587AC8C8" w14:textId="453A5B5A" w:rsidR="008F4FB9" w:rsidRPr="00395023" w:rsidRDefault="008F4FB9">
      <w:pPr>
        <w:ind w:firstLineChars="200" w:firstLine="480"/>
      </w:pPr>
      <w:r w:rsidRPr="00395023">
        <w:t>技术成熟度评估流程参照</w:t>
      </w:r>
      <w:r w:rsidR="00522BC4" w:rsidRPr="00395023">
        <w:t>GB/T 40518-2021</w:t>
      </w:r>
      <w:r w:rsidRPr="00395023">
        <w:t>《</w:t>
      </w:r>
      <w:r w:rsidR="00522BC4" w:rsidRPr="00395023">
        <w:rPr>
          <w:rFonts w:hint="eastAsia"/>
        </w:rPr>
        <w:t>航天工程技术成熟度评价指南</w:t>
      </w:r>
      <w:r w:rsidRPr="00395023">
        <w:t>》的量化评价体系；</w:t>
      </w:r>
    </w:p>
    <w:p w14:paraId="7975819C" w14:textId="6ACF70D9" w:rsidR="008F4FB9" w:rsidRPr="00395023" w:rsidRDefault="008F4FB9" w:rsidP="008F4FB9">
      <w:pPr>
        <w:ind w:firstLineChars="200" w:firstLine="480"/>
      </w:pPr>
      <w:r w:rsidRPr="00395023">
        <w:t>版本控制要求符合ISO/IEC 12207《</w:t>
      </w:r>
      <w:r w:rsidR="00522BC4" w:rsidRPr="00395023">
        <w:t>Systems and software engineering — Software life cycle processes</w:t>
      </w:r>
      <w:r w:rsidRPr="00395023">
        <w:t>》的配置管理标准。</w:t>
      </w:r>
    </w:p>
    <w:p w14:paraId="2C4F16ED" w14:textId="77777777" w:rsidR="008F4FB9" w:rsidRPr="00395023" w:rsidRDefault="008F4FB9" w:rsidP="008F4FB9">
      <w:pPr>
        <w:ind w:firstLineChars="200" w:firstLine="480"/>
      </w:pPr>
    </w:p>
    <w:p w14:paraId="783A352A" w14:textId="3BE25D00" w:rsidR="00FB6407" w:rsidRPr="00395023" w:rsidRDefault="0024244C" w:rsidP="00FB6407">
      <w:pPr>
        <w:rPr>
          <w:b/>
        </w:rPr>
      </w:pPr>
      <w:r w:rsidRPr="00395023">
        <w:rPr>
          <w:rFonts w:hint="eastAsia"/>
          <w:b/>
        </w:rPr>
        <w:t>3、解决的主要问题</w:t>
      </w:r>
    </w:p>
    <w:p w14:paraId="7F3058F8" w14:textId="77777777" w:rsidR="00C80010" w:rsidRPr="00395023" w:rsidRDefault="00C80010" w:rsidP="00A1417C">
      <w:r w:rsidRPr="00395023">
        <w:rPr>
          <w:rFonts w:hint="eastAsia"/>
        </w:rPr>
        <w:t>（</w:t>
      </w:r>
      <w:r w:rsidRPr="00395023">
        <w:t>1</w:t>
      </w:r>
      <w:r w:rsidRPr="00395023">
        <w:rPr>
          <w:rFonts w:hint="eastAsia"/>
        </w:rPr>
        <w:t>）</w:t>
      </w:r>
      <w:r w:rsidRPr="00395023">
        <w:t>问题背景</w:t>
      </w:r>
    </w:p>
    <w:p w14:paraId="7CD22C68" w14:textId="77777777" w:rsidR="00C80010" w:rsidRPr="00395023" w:rsidRDefault="00C80010" w:rsidP="00C80010">
      <w:pPr>
        <w:ind w:firstLineChars="200" w:firstLine="480"/>
      </w:pPr>
      <w:r w:rsidRPr="00395023">
        <w:t>核反应堆数字样机作为新型研发工具，在实际应用中面临以下核心挑战：</w:t>
      </w:r>
    </w:p>
    <w:p w14:paraId="25FE9DF9" w14:textId="77777777" w:rsidR="00C80010" w:rsidRPr="00395023" w:rsidRDefault="00C80010" w:rsidP="00C80010">
      <w:pPr>
        <w:ind w:firstLineChars="200" w:firstLine="480"/>
      </w:pPr>
      <w:r w:rsidRPr="00395023">
        <w:t>技术标准缺失：缺乏统一的构建、测试与评估规范，导致不同机构开发的数字样机互操作性差，数据难以共享；</w:t>
      </w:r>
    </w:p>
    <w:p w14:paraId="33FF2D9A" w14:textId="77777777" w:rsidR="00C80010" w:rsidRPr="00395023" w:rsidRDefault="00C80010" w:rsidP="00C80010">
      <w:pPr>
        <w:ind w:firstLineChars="200" w:firstLine="480"/>
      </w:pPr>
      <w:r w:rsidRPr="00395023">
        <w:t>安全风险隐患：模拟精度不足、安全场景覆盖不全，可能掩盖设计缺陷，增加核反应堆实际运行风险；</w:t>
      </w:r>
    </w:p>
    <w:p w14:paraId="4194A951" w14:textId="1596657A" w:rsidR="00C80010" w:rsidRPr="00395023" w:rsidRDefault="00C80010" w:rsidP="00C80010">
      <w:pPr>
        <w:ind w:firstLineChars="200" w:firstLine="480"/>
      </w:pPr>
      <w:r w:rsidRPr="00395023">
        <w:t>技术成熟度参差：部分数字样机开发周期长、更新滞后，难以适应第四代核能系统等前沿技术的快速迭代需求。</w:t>
      </w:r>
    </w:p>
    <w:p w14:paraId="23AF93B1" w14:textId="042F499B" w:rsidR="00C80010" w:rsidRPr="00395023" w:rsidRDefault="00C80010" w:rsidP="00A1417C">
      <w:r w:rsidRPr="00395023">
        <w:rPr>
          <w:rFonts w:hint="eastAsia"/>
        </w:rPr>
        <w:t>（</w:t>
      </w:r>
      <w:r w:rsidRPr="00395023">
        <w:t>2</w:t>
      </w:r>
      <w:r w:rsidRPr="00395023">
        <w:rPr>
          <w:rFonts w:hint="eastAsia"/>
        </w:rPr>
        <w:t>）</w:t>
      </w:r>
      <w:r w:rsidRPr="00395023">
        <w:t>标准解决的主要问题</w:t>
      </w:r>
    </w:p>
    <w:p w14:paraId="21C1B7DB" w14:textId="77777777" w:rsidR="00C80010" w:rsidRPr="00395023" w:rsidRDefault="00C80010" w:rsidP="00C80010">
      <w:pPr>
        <w:ind w:firstLineChars="200" w:firstLine="480"/>
      </w:pPr>
      <w:r w:rsidRPr="00395023">
        <w:t>本文件通过系统性技术规范，针对性解决上述问题：</w:t>
      </w:r>
    </w:p>
    <w:p w14:paraId="146655F1" w14:textId="3A65FBC5" w:rsidR="00C80010" w:rsidRPr="00395023" w:rsidRDefault="00C80010" w:rsidP="00CF4979">
      <w:pPr>
        <w:ind w:firstLineChars="200" w:firstLine="480"/>
      </w:pPr>
      <w:r w:rsidRPr="00395023">
        <w:t>统一技术框架（第4-7章）：明确数字样机分层架构（4.1条）与模块化构建规则（7.1条），打破技术壁垒，提升不同团队开发成果的兼容性；规定标准化接口（7.1.3条）与数据格式（7.3.2条），促进跨平台数据集成与行业协作。</w:t>
      </w:r>
    </w:p>
    <w:p w14:paraId="7AB79B40" w14:textId="10B30B60" w:rsidR="00C80010" w:rsidRPr="00395023" w:rsidRDefault="00C80010" w:rsidP="00C80010">
      <w:pPr>
        <w:ind w:firstLineChars="200" w:firstLine="480"/>
      </w:pPr>
      <w:r w:rsidRPr="00395023">
        <w:t>强化安全与可靠性（第6、8章）：要求性能样机覆盖事故场景模拟（6.1.2条），并制定故障注入测试（8.5.1条）、冗余切换验证（8.5.3条）等强制性条款，确保数字样机能够精准识别安全漏洞；通过长期运行稳定性测试（8.5.4条）与日志记录规范（8.5.5条），保障数字样机在全生命周期内的可信度。</w:t>
      </w:r>
    </w:p>
    <w:p w14:paraId="45BFBF14" w14:textId="24A2E7CA" w:rsidR="00C80010" w:rsidRPr="00395023" w:rsidRDefault="00C80010" w:rsidP="00C80010">
      <w:pPr>
        <w:ind w:firstLineChars="200" w:firstLine="480"/>
      </w:pPr>
      <w:r w:rsidRPr="00395023">
        <w:t>推动技术迭代与落地（第9章）：建立技术成熟度分级评估体系（9.1条），量化评价数字样机开发阶段，避免资源浪费；规定版本控制（9.2.1条）</w:t>
      </w:r>
      <w:r w:rsidRPr="00395023">
        <w:lastRenderedPageBreak/>
        <w:t>与用户培训机制（9.2.4条），确保数字样机持续适配新技术需求，降低企业应用门槛。</w:t>
      </w:r>
    </w:p>
    <w:p w14:paraId="09C92ECB" w14:textId="77777777" w:rsidR="00B24A56" w:rsidRPr="00395023" w:rsidRDefault="00B24A56" w:rsidP="00FB6407"/>
    <w:p w14:paraId="67313798" w14:textId="3CAD61AC" w:rsidR="0024244C" w:rsidRPr="00395023" w:rsidRDefault="00285F39" w:rsidP="006633BA">
      <w:pPr>
        <w:outlineLvl w:val="0"/>
        <w:rPr>
          <w:b/>
          <w:sz w:val="28"/>
          <w:szCs w:val="28"/>
        </w:rPr>
      </w:pPr>
      <w:r w:rsidRPr="00395023">
        <w:rPr>
          <w:rFonts w:hint="eastAsia"/>
          <w:b/>
          <w:sz w:val="28"/>
          <w:szCs w:val="28"/>
        </w:rPr>
        <w:t>三、主要试验（或验证）情况</w:t>
      </w:r>
    </w:p>
    <w:p w14:paraId="0142DDAD" w14:textId="548D0455" w:rsidR="00B51DBB" w:rsidRPr="00395023" w:rsidRDefault="00B51DBB" w:rsidP="00B51DBB">
      <w:pPr>
        <w:ind w:firstLineChars="200" w:firstLine="480"/>
      </w:pPr>
      <w:r w:rsidRPr="00395023">
        <w:rPr>
          <w:rFonts w:hint="eastAsia"/>
        </w:rPr>
        <w:t>上海交通大学</w:t>
      </w:r>
      <w:r w:rsidRPr="00395023">
        <w:t>INSL团队</w:t>
      </w:r>
      <w:r w:rsidRPr="00395023">
        <w:rPr>
          <w:rFonts w:hint="eastAsia"/>
        </w:rPr>
        <w:t>开展了空间核反应堆数字样机的研究，并成功开发出一套完备的数字样机系统。为了模拟和监控空间堆运行过程，实现空间堆优化设计与智能化、安全化在线控制，研究团队开发一套空间反应堆数字样机系统，其架构如</w:t>
      </w:r>
      <w:r w:rsidRPr="00395023">
        <w:fldChar w:fldCharType="begin"/>
      </w:r>
      <w:r w:rsidRPr="00395023">
        <w:instrText xml:space="preserve"> REF _Ref159619618 \h  \* MERGEFORMAT </w:instrText>
      </w:r>
      <w:r w:rsidRPr="00395023">
        <w:fldChar w:fldCharType="separate"/>
      </w:r>
      <w:r w:rsidRPr="00395023">
        <w:rPr>
          <w:rFonts w:hint="eastAsia"/>
        </w:rPr>
        <w:t>图</w:t>
      </w:r>
      <w:r w:rsidRPr="00395023">
        <w:t>1</w:t>
      </w:r>
      <w:r w:rsidRPr="00395023">
        <w:fldChar w:fldCharType="end"/>
      </w:r>
      <w:r w:rsidRPr="00395023">
        <w:rPr>
          <w:rFonts w:hint="eastAsia"/>
        </w:rPr>
        <w:t>所示。数字样机总体框架分为四个模块：主设备功能仿真模块，数据库管理模块，控制与优化模块，可视化展示模块。通过实时信息流动将各个模块之间串联，实现了数字反应堆系统模型高精度动态仿真与模拟、三维精细化反应堆系统结构建模，多维系统关键数据实时展示与更新、反应堆全生命周期数据库管理等功能。</w:t>
      </w:r>
      <w:r w:rsidRPr="00395023">
        <w:fldChar w:fldCharType="begin"/>
      </w:r>
      <w:r w:rsidRPr="00395023">
        <w:instrText xml:space="preserve"> REF _Ref159618874 \h  \* MERGEFORMAT </w:instrText>
      </w:r>
      <w:r w:rsidRPr="00395023">
        <w:fldChar w:fldCharType="separate"/>
      </w:r>
      <w:r w:rsidRPr="00395023">
        <w:rPr>
          <w:rFonts w:hint="eastAsia"/>
        </w:rPr>
        <w:t>图</w:t>
      </w:r>
      <w:r w:rsidRPr="00395023">
        <w:t>2</w:t>
      </w:r>
      <w:r w:rsidRPr="00395023">
        <w:fldChar w:fldCharType="end"/>
      </w:r>
      <w:r w:rsidRPr="00395023">
        <w:rPr>
          <w:rFonts w:hint="eastAsia"/>
        </w:rPr>
        <w:t>展示了研究团队开发的空间</w:t>
      </w:r>
      <w:proofErr w:type="gramStart"/>
      <w:r w:rsidRPr="00395023">
        <w:rPr>
          <w:rFonts w:hint="eastAsia"/>
        </w:rPr>
        <w:t>堆数字</w:t>
      </w:r>
      <w:proofErr w:type="gramEnd"/>
      <w:r w:rsidRPr="00395023">
        <w:rPr>
          <w:rFonts w:hint="eastAsia"/>
        </w:rPr>
        <w:t>样机系统界面。</w:t>
      </w:r>
    </w:p>
    <w:p w14:paraId="40EC18BB" w14:textId="3F81AE46" w:rsidR="00B51DBB" w:rsidRPr="00395023" w:rsidRDefault="00B51DBB" w:rsidP="00B51DBB">
      <w:pPr>
        <w:jc w:val="center"/>
      </w:pPr>
      <w:r w:rsidRPr="00395023">
        <w:rPr>
          <w:noProof/>
        </w:rPr>
        <w:drawing>
          <wp:inline distT="0" distB="0" distL="0" distR="0" wp14:anchorId="2D0F271F" wp14:editId="395C9E56">
            <wp:extent cx="5120640" cy="2450465"/>
            <wp:effectExtent l="0" t="0" r="3810" b="6985"/>
            <wp:docPr id="1208973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97333" name=""/>
                    <pic:cNvPicPr/>
                  </pic:nvPicPr>
                  <pic:blipFill>
                    <a:blip r:embed="rId7"/>
                    <a:stretch>
                      <a:fillRect/>
                    </a:stretch>
                  </pic:blipFill>
                  <pic:spPr>
                    <a:xfrm>
                      <a:off x="0" y="0"/>
                      <a:ext cx="5122521" cy="2451365"/>
                    </a:xfrm>
                    <a:prstGeom prst="rect">
                      <a:avLst/>
                    </a:prstGeom>
                  </pic:spPr>
                </pic:pic>
              </a:graphicData>
            </a:graphic>
          </wp:inline>
        </w:drawing>
      </w:r>
    </w:p>
    <w:p w14:paraId="6AAEFF0E" w14:textId="77777777" w:rsidR="00B51DBB" w:rsidRPr="00395023" w:rsidRDefault="00B51DBB" w:rsidP="003C2F3F">
      <w:pPr>
        <w:ind w:firstLineChars="200" w:firstLine="480"/>
        <w:jc w:val="center"/>
      </w:pPr>
      <w:bookmarkStart w:id="10" w:name="_Ref159619618"/>
      <w:r w:rsidRPr="00395023">
        <w:rPr>
          <w:rFonts w:hint="eastAsia"/>
        </w:rPr>
        <w:t>图</w:t>
      </w:r>
      <w:fldSimple w:instr=" SEQ 图 \* ARABIC ">
        <w:r w:rsidRPr="00395023">
          <w:t>1</w:t>
        </w:r>
      </w:fldSimple>
      <w:bookmarkEnd w:id="10"/>
      <w:r w:rsidRPr="00395023">
        <w:t xml:space="preserve"> </w:t>
      </w:r>
      <w:r w:rsidRPr="00395023">
        <w:rPr>
          <w:rFonts w:hint="eastAsia"/>
        </w:rPr>
        <w:t>空间堆数字样机系统界面</w:t>
      </w:r>
    </w:p>
    <w:p w14:paraId="6D078EFD" w14:textId="7AB8B7A2" w:rsidR="00B51DBB" w:rsidRPr="00395023" w:rsidRDefault="00B51DBB" w:rsidP="00B51DBB">
      <w:pPr>
        <w:jc w:val="center"/>
      </w:pPr>
      <w:r w:rsidRPr="00395023">
        <w:rPr>
          <w:noProof/>
        </w:rPr>
        <w:lastRenderedPageBreak/>
        <w:drawing>
          <wp:inline distT="0" distB="0" distL="0" distR="0" wp14:anchorId="7E4486BC" wp14:editId="25F1DEB2">
            <wp:extent cx="5160396" cy="2177415"/>
            <wp:effectExtent l="0" t="0" r="2540" b="0"/>
            <wp:docPr id="16745079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507910" name=""/>
                    <pic:cNvPicPr/>
                  </pic:nvPicPr>
                  <pic:blipFill>
                    <a:blip r:embed="rId8"/>
                    <a:stretch>
                      <a:fillRect/>
                    </a:stretch>
                  </pic:blipFill>
                  <pic:spPr>
                    <a:xfrm>
                      <a:off x="0" y="0"/>
                      <a:ext cx="5161413" cy="2177844"/>
                    </a:xfrm>
                    <a:prstGeom prst="rect">
                      <a:avLst/>
                    </a:prstGeom>
                  </pic:spPr>
                </pic:pic>
              </a:graphicData>
            </a:graphic>
          </wp:inline>
        </w:drawing>
      </w:r>
    </w:p>
    <w:p w14:paraId="7C41D5B9" w14:textId="77777777" w:rsidR="00B51DBB" w:rsidRPr="00395023" w:rsidRDefault="00B51DBB" w:rsidP="003C2F3F">
      <w:pPr>
        <w:ind w:firstLineChars="200" w:firstLine="480"/>
        <w:jc w:val="center"/>
      </w:pPr>
      <w:bookmarkStart w:id="11" w:name="_Ref159618874"/>
      <w:r w:rsidRPr="00395023">
        <w:rPr>
          <w:rFonts w:hint="eastAsia"/>
        </w:rPr>
        <w:t>图</w:t>
      </w:r>
      <w:fldSimple w:instr=" SEQ 图 \* ARABIC ">
        <w:r w:rsidRPr="00395023">
          <w:t>2</w:t>
        </w:r>
      </w:fldSimple>
      <w:bookmarkEnd w:id="11"/>
      <w:r w:rsidRPr="00395023">
        <w:t xml:space="preserve"> </w:t>
      </w:r>
      <w:r w:rsidRPr="00395023">
        <w:rPr>
          <w:rFonts w:hint="eastAsia"/>
        </w:rPr>
        <w:t>空间堆数字样机系统界面</w:t>
      </w:r>
    </w:p>
    <w:p w14:paraId="03A7352A" w14:textId="77777777" w:rsidR="00B51DBB" w:rsidRPr="00395023" w:rsidRDefault="00B51DBB" w:rsidP="003C2F3F">
      <w:pPr>
        <w:ind w:firstLineChars="200" w:firstLine="480"/>
      </w:pPr>
      <w:r w:rsidRPr="00395023">
        <w:rPr>
          <w:rFonts w:hint="eastAsia"/>
        </w:rPr>
        <w:t>上海交通大学</w:t>
      </w:r>
      <w:r w:rsidRPr="00395023">
        <w:t>INSL</w:t>
      </w:r>
      <w:r w:rsidRPr="00395023">
        <w:rPr>
          <w:rFonts w:hint="eastAsia"/>
        </w:rPr>
        <w:t>所开发的数字样机充分利用物理模型、传感器更新、运行历史等数据，集成多学科、多物理量、多尺度、多概率的仿真过程，实现物理系统在虚拟空间的镜像同步，从而反映相对应的实体装备的全生命周期过程。样机以空间反应堆为物理实体，在可视化三维引擎中进行数字化建模，依托三维引擎的实时光照系统，完成空间堆数字孪生的可视化交互应用。样机采用前后端分离的</w:t>
      </w:r>
      <w:r w:rsidRPr="00395023">
        <w:t>C/S</w:t>
      </w:r>
      <w:r w:rsidRPr="00395023">
        <w:rPr>
          <w:rFonts w:hint="eastAsia"/>
        </w:rPr>
        <w:t>系统架构设计，通过接口</w:t>
      </w:r>
      <w:r w:rsidRPr="00395023">
        <w:t>API</w:t>
      </w:r>
      <w:r w:rsidRPr="00395023">
        <w:rPr>
          <w:rFonts w:hint="eastAsia"/>
        </w:rPr>
        <w:t>依托数据后台从空间堆信息化系统获取相关数据。</w:t>
      </w:r>
      <w:r w:rsidRPr="00395023">
        <w:fldChar w:fldCharType="begin"/>
      </w:r>
      <w:r w:rsidRPr="00395023">
        <w:instrText xml:space="preserve"> REF _Ref159621289 \h  \* MERGEFORMAT </w:instrText>
      </w:r>
      <w:r w:rsidRPr="00395023">
        <w:fldChar w:fldCharType="separate"/>
      </w:r>
      <w:r w:rsidRPr="00395023">
        <w:rPr>
          <w:rFonts w:hint="eastAsia"/>
        </w:rPr>
        <w:t>图</w:t>
      </w:r>
      <w:r w:rsidRPr="00395023">
        <w:t>3</w:t>
      </w:r>
      <w:r w:rsidRPr="00395023">
        <w:fldChar w:fldCharType="end"/>
      </w:r>
      <w:r w:rsidRPr="00395023">
        <w:rPr>
          <w:rFonts w:hint="eastAsia"/>
        </w:rPr>
        <w:t>给出数字样机采用的多物理场耦合算法与数据库管理与挖掘技术示意图。所开发的数字样机具有以下特点：</w:t>
      </w:r>
    </w:p>
    <w:p w14:paraId="40AF3CD0" w14:textId="5385CC83" w:rsidR="00B51DBB" w:rsidRPr="00395023" w:rsidRDefault="00B51DBB" w:rsidP="003C2F3F">
      <w:pPr>
        <w:ind w:firstLineChars="200" w:firstLine="480"/>
      </w:pPr>
      <w:r w:rsidRPr="00395023">
        <w:rPr>
          <w:rFonts w:hint="eastAsia"/>
        </w:rPr>
        <w:t>（1）数据样机采用模块化编程架构，基于先进多物理场耦合算法以及多维度计算模型，实现高精度、多尺度反应堆系统动态仿真。通过收集已有公开实验数据，开展大量的模块化与系统化验证，从而不断完善数字样机架构。</w:t>
      </w:r>
    </w:p>
    <w:p w14:paraId="1DBCC604" w14:textId="7C37B18D" w:rsidR="00B51DBB" w:rsidRPr="00395023" w:rsidRDefault="00B51DBB" w:rsidP="003C2F3F">
      <w:pPr>
        <w:ind w:firstLineChars="200" w:firstLine="480"/>
      </w:pPr>
      <w:r w:rsidRPr="00395023">
        <w:rPr>
          <w:rFonts w:hint="eastAsia"/>
        </w:rPr>
        <w:t>（2）数字样机支持集群、分布式部署，其支持负载均衡，可根据业务规模调整部署结构。研究团队在已有曙光集群服务器上，搭建了多核</w:t>
      </w:r>
      <w:r w:rsidRPr="00395023">
        <w:t>CPU</w:t>
      </w:r>
      <w:r w:rsidRPr="00395023">
        <w:rPr>
          <w:rFonts w:hint="eastAsia"/>
        </w:rPr>
        <w:t>与</w:t>
      </w:r>
      <w:r w:rsidRPr="00395023">
        <w:t>GPU</w:t>
      </w:r>
      <w:r w:rsidRPr="00395023">
        <w:rPr>
          <w:rFonts w:hint="eastAsia"/>
        </w:rPr>
        <w:t>异构体系，设计机器学习算法实现数字样机超实时计算模拟，使其数字系统能够保持与物理世界系统镜像同步。</w:t>
      </w:r>
    </w:p>
    <w:p w14:paraId="6E0541BF" w14:textId="1CDCCB0A" w:rsidR="00B51DBB" w:rsidRPr="00395023" w:rsidRDefault="00B51DBB" w:rsidP="003C2F3F">
      <w:pPr>
        <w:ind w:firstLineChars="200" w:firstLine="480"/>
      </w:pPr>
      <w:r w:rsidRPr="00395023">
        <w:rPr>
          <w:rFonts w:hint="eastAsia"/>
        </w:rPr>
        <w:t>（3）数字样机的设计具备广泛兼容性，能够广泛接入各种数据，集成各种成熟商业软件或开源软件，</w:t>
      </w:r>
      <w:r w:rsidRPr="00395023">
        <w:t>支持从</w:t>
      </w:r>
      <w:r w:rsidRPr="00395023">
        <w:rPr>
          <w:rFonts w:hint="eastAsia"/>
        </w:rPr>
        <w:t>远程</w:t>
      </w:r>
      <w:r w:rsidRPr="00395023">
        <w:t>Web</w:t>
      </w:r>
      <w:r w:rsidRPr="00395023">
        <w:rPr>
          <w:rFonts w:hint="eastAsia"/>
        </w:rPr>
        <w:t>服务器以</w:t>
      </w:r>
      <w:r w:rsidRPr="00395023">
        <w:t>HTTP</w:t>
      </w:r>
      <w:r w:rsidRPr="00395023">
        <w:rPr>
          <w:rFonts w:hint="eastAsia"/>
        </w:rPr>
        <w:t>或</w:t>
      </w:r>
      <w:r w:rsidRPr="00395023">
        <w:t>WebSocket方式请</w:t>
      </w:r>
      <w:r w:rsidRPr="00395023">
        <w:rPr>
          <w:rFonts w:hint="eastAsia"/>
        </w:rPr>
        <w:t>求</w:t>
      </w:r>
      <w:r w:rsidRPr="00395023">
        <w:t>JSON数据，并解析为模型内设备对象的实时数据进行展示</w:t>
      </w:r>
      <w:r w:rsidRPr="00395023">
        <w:rPr>
          <w:rFonts w:hint="eastAsia"/>
        </w:rPr>
        <w:t>。</w:t>
      </w:r>
    </w:p>
    <w:p w14:paraId="5AB8225D" w14:textId="7D415B3B" w:rsidR="00B51DBB" w:rsidRPr="00395023" w:rsidRDefault="00B51DBB" w:rsidP="003C2F3F">
      <w:pPr>
        <w:ind w:firstLineChars="200" w:firstLine="480"/>
      </w:pPr>
      <w:r w:rsidRPr="00395023">
        <w:rPr>
          <w:rFonts w:hint="eastAsia"/>
        </w:rPr>
        <w:t>（4）数字样机集中管理、分析与储存空间堆从设计到运行、再到退役过程中产生的大量数据，包括计算、测量、实验、设计数据等，实现空间堆系统全生命周期数据库管理</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7"/>
        <w:gridCol w:w="4409"/>
      </w:tblGrid>
      <w:tr w:rsidR="00395023" w:rsidRPr="00395023" w14:paraId="6490AEF9" w14:textId="77777777" w:rsidTr="002B5CF7">
        <w:tc>
          <w:tcPr>
            <w:tcW w:w="4122" w:type="dxa"/>
            <w:vAlign w:val="center"/>
          </w:tcPr>
          <w:p w14:paraId="7B1C58EC" w14:textId="77777777" w:rsidR="00B51DBB" w:rsidRPr="00395023" w:rsidRDefault="00B51DBB" w:rsidP="002B5CF7">
            <w:pPr>
              <w:pStyle w:val="af"/>
              <w:tabs>
                <w:tab w:val="left" w:pos="1936"/>
              </w:tabs>
              <w:spacing w:line="360" w:lineRule="auto"/>
              <w:ind w:firstLineChars="0" w:firstLine="0"/>
              <w:jc w:val="center"/>
            </w:pPr>
            <w:r w:rsidRPr="00395023">
              <w:rPr>
                <w:noProof/>
              </w:rPr>
              <w:lastRenderedPageBreak/>
              <w:drawing>
                <wp:inline distT="0" distB="0" distL="0" distR="0" wp14:anchorId="09C7005C" wp14:editId="32656D50">
                  <wp:extent cx="2341245" cy="1998129"/>
                  <wp:effectExtent l="0" t="0" r="0" b="0"/>
                  <wp:docPr id="4" name="图片 3">
                    <a:extLst xmlns:a="http://schemas.openxmlformats.org/drawingml/2006/main">
                      <a:ext uri="{FF2B5EF4-FFF2-40B4-BE49-F238E27FC236}">
                        <a16:creationId xmlns:a16="http://schemas.microsoft.com/office/drawing/2014/main" id="{03859EA9-F89C-7C02-34CF-D0002B0875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3859EA9-F89C-7C02-34CF-D0002B087567}"/>
                              </a:ext>
                            </a:extLst>
                          </pic:cNvPr>
                          <pic:cNvPicPr>
                            <a:picLocks noChangeAspect="1"/>
                          </pic:cNvPicPr>
                        </pic:nvPicPr>
                        <pic:blipFill>
                          <a:blip r:embed="rId9"/>
                          <a:stretch>
                            <a:fillRect/>
                          </a:stretch>
                        </pic:blipFill>
                        <pic:spPr>
                          <a:xfrm>
                            <a:off x="0" y="0"/>
                            <a:ext cx="2341245" cy="1998129"/>
                          </a:xfrm>
                          <a:prstGeom prst="rect">
                            <a:avLst/>
                          </a:prstGeom>
                        </pic:spPr>
                      </pic:pic>
                    </a:graphicData>
                  </a:graphic>
                </wp:inline>
              </w:drawing>
            </w:r>
          </w:p>
        </w:tc>
        <w:tc>
          <w:tcPr>
            <w:tcW w:w="4400" w:type="dxa"/>
            <w:vAlign w:val="bottom"/>
          </w:tcPr>
          <w:p w14:paraId="098C4070" w14:textId="77777777" w:rsidR="00B51DBB" w:rsidRPr="00395023" w:rsidRDefault="00B51DBB" w:rsidP="002B5CF7">
            <w:pPr>
              <w:pStyle w:val="af"/>
              <w:tabs>
                <w:tab w:val="left" w:pos="1936"/>
              </w:tabs>
              <w:spacing w:line="360" w:lineRule="auto"/>
              <w:ind w:firstLineChars="0" w:firstLine="0"/>
              <w:jc w:val="center"/>
            </w:pPr>
            <w:r w:rsidRPr="00395023">
              <w:rPr>
                <w:noProof/>
              </w:rPr>
              <w:drawing>
                <wp:inline distT="0" distB="0" distL="0" distR="0" wp14:anchorId="781F7020" wp14:editId="691D6233">
                  <wp:extent cx="2667342" cy="1816336"/>
                  <wp:effectExtent l="0" t="0" r="0" b="0"/>
                  <wp:docPr id="19109514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951449" name=""/>
                          <pic:cNvPicPr/>
                        </pic:nvPicPr>
                        <pic:blipFill>
                          <a:blip r:embed="rId10"/>
                          <a:stretch>
                            <a:fillRect/>
                          </a:stretch>
                        </pic:blipFill>
                        <pic:spPr>
                          <a:xfrm>
                            <a:off x="0" y="0"/>
                            <a:ext cx="2682624" cy="1826742"/>
                          </a:xfrm>
                          <a:prstGeom prst="rect">
                            <a:avLst/>
                          </a:prstGeom>
                        </pic:spPr>
                      </pic:pic>
                    </a:graphicData>
                  </a:graphic>
                </wp:inline>
              </w:drawing>
            </w:r>
          </w:p>
        </w:tc>
      </w:tr>
      <w:tr w:rsidR="00395023" w:rsidRPr="00395023" w14:paraId="2A2894BC" w14:textId="77777777" w:rsidTr="002B5CF7">
        <w:tc>
          <w:tcPr>
            <w:tcW w:w="4122" w:type="dxa"/>
            <w:vAlign w:val="center"/>
          </w:tcPr>
          <w:p w14:paraId="1D957FB2" w14:textId="77777777" w:rsidR="00B51DBB" w:rsidRPr="00395023" w:rsidRDefault="00B51DBB" w:rsidP="002B5CF7">
            <w:pPr>
              <w:snapToGrid w:val="0"/>
              <w:jc w:val="center"/>
              <w:rPr>
                <w:rFonts w:ascii="宋体" w:eastAsia="宋体" w:hAnsi="宋体" w:cs="Times New Roman"/>
                <w:szCs w:val="24"/>
                <w14:ligatures w14:val="none"/>
              </w:rPr>
            </w:pPr>
            <w:r w:rsidRPr="00395023">
              <w:rPr>
                <w:rFonts w:ascii="宋体" w:eastAsia="宋体" w:hAnsi="宋体" w:cs="Times New Roman" w:hint="eastAsia"/>
                <w:szCs w:val="24"/>
              </w:rPr>
              <w:t>(</w:t>
            </w:r>
            <w:r w:rsidRPr="00395023">
              <w:rPr>
                <w:rFonts w:ascii="宋体" w:eastAsia="宋体" w:hAnsi="宋体" w:cs="Times New Roman"/>
                <w:szCs w:val="24"/>
              </w:rPr>
              <w:t>a)</w:t>
            </w:r>
            <w:r w:rsidRPr="00395023">
              <w:rPr>
                <w:rFonts w:ascii="宋体" w:eastAsia="宋体" w:hAnsi="宋体" w:cs="Times New Roman" w:hint="eastAsia"/>
                <w:szCs w:val="24"/>
              </w:rPr>
              <w:t>数据同化的先进多物理场耦合算法</w:t>
            </w:r>
          </w:p>
        </w:tc>
        <w:tc>
          <w:tcPr>
            <w:tcW w:w="4400" w:type="dxa"/>
            <w:vAlign w:val="center"/>
          </w:tcPr>
          <w:p w14:paraId="0B507F19" w14:textId="77777777" w:rsidR="00B51DBB" w:rsidRPr="00395023" w:rsidRDefault="00B51DBB" w:rsidP="002B5CF7">
            <w:pPr>
              <w:snapToGrid w:val="0"/>
              <w:ind w:firstLineChars="200" w:firstLine="420"/>
              <w:jc w:val="center"/>
              <w:rPr>
                <w:rFonts w:ascii="宋体" w:eastAsia="宋体" w:hAnsi="宋体" w:cs="Times New Roman"/>
                <w:szCs w:val="24"/>
                <w14:ligatures w14:val="none"/>
              </w:rPr>
            </w:pPr>
            <w:r w:rsidRPr="00395023">
              <w:rPr>
                <w:rFonts w:ascii="宋体" w:eastAsia="宋体" w:hAnsi="宋体" w:cs="Times New Roman" w:hint="eastAsia"/>
                <w:szCs w:val="24"/>
              </w:rPr>
              <w:t>(</w:t>
            </w:r>
            <w:r w:rsidRPr="00395023">
              <w:rPr>
                <w:rFonts w:ascii="宋体" w:eastAsia="宋体" w:hAnsi="宋体" w:cs="Times New Roman"/>
                <w:szCs w:val="24"/>
              </w:rPr>
              <w:t>b)</w:t>
            </w:r>
            <w:r w:rsidRPr="00395023">
              <w:rPr>
                <w:rFonts w:ascii="宋体" w:eastAsia="宋体" w:hAnsi="宋体" w:cs="Times New Roman" w:hint="eastAsia"/>
                <w:szCs w:val="24"/>
              </w:rPr>
              <w:t>数据挖掘技术部署架构</w:t>
            </w:r>
          </w:p>
        </w:tc>
      </w:tr>
    </w:tbl>
    <w:p w14:paraId="71DEC20A" w14:textId="77777777" w:rsidR="00B51DBB" w:rsidRPr="00395023" w:rsidRDefault="00B51DBB" w:rsidP="003C2F3F">
      <w:pPr>
        <w:ind w:firstLineChars="200" w:firstLine="480"/>
        <w:jc w:val="center"/>
      </w:pPr>
      <w:bookmarkStart w:id="12" w:name="_Ref159621289"/>
      <w:r w:rsidRPr="00395023">
        <w:rPr>
          <w:rFonts w:hint="eastAsia"/>
        </w:rPr>
        <w:t>图</w:t>
      </w:r>
      <w:fldSimple w:instr=" SEQ 图 \* ARABIC ">
        <w:r w:rsidRPr="00395023">
          <w:t>3</w:t>
        </w:r>
      </w:fldSimple>
      <w:bookmarkEnd w:id="12"/>
      <w:r w:rsidRPr="00395023">
        <w:t xml:space="preserve"> </w:t>
      </w:r>
      <w:r w:rsidRPr="00395023">
        <w:rPr>
          <w:rFonts w:hint="eastAsia"/>
        </w:rPr>
        <w:t>空间</w:t>
      </w:r>
      <w:proofErr w:type="gramStart"/>
      <w:r w:rsidRPr="00395023">
        <w:rPr>
          <w:rFonts w:hint="eastAsia"/>
        </w:rPr>
        <w:t>堆数字</w:t>
      </w:r>
      <w:proofErr w:type="gramEnd"/>
      <w:r w:rsidRPr="00395023">
        <w:rPr>
          <w:rFonts w:hint="eastAsia"/>
        </w:rPr>
        <w:t>样机算法与数据库架构</w:t>
      </w:r>
    </w:p>
    <w:p w14:paraId="1B69AA61" w14:textId="77777777" w:rsidR="00B51DBB" w:rsidRPr="00395023" w:rsidRDefault="00B51DBB" w:rsidP="003C2F3F">
      <w:pPr>
        <w:jc w:val="center"/>
      </w:pPr>
    </w:p>
    <w:p w14:paraId="42EFE62F" w14:textId="77777777" w:rsidR="005A25BE" w:rsidRPr="00395023" w:rsidRDefault="005A25BE" w:rsidP="00313016">
      <w:pPr>
        <w:ind w:firstLineChars="200" w:firstLine="480"/>
      </w:pPr>
    </w:p>
    <w:p w14:paraId="2C6D0654" w14:textId="1DE749A4" w:rsidR="00285F39" w:rsidRPr="00395023" w:rsidRDefault="00285F39" w:rsidP="006633BA">
      <w:pPr>
        <w:outlineLvl w:val="0"/>
        <w:rPr>
          <w:b/>
          <w:sz w:val="28"/>
          <w:szCs w:val="28"/>
        </w:rPr>
      </w:pPr>
      <w:r w:rsidRPr="00395023">
        <w:rPr>
          <w:rFonts w:hint="eastAsia"/>
          <w:b/>
          <w:sz w:val="28"/>
          <w:szCs w:val="28"/>
        </w:rPr>
        <w:t>四、标准中涉及专利的情况</w:t>
      </w:r>
    </w:p>
    <w:p w14:paraId="253A2871" w14:textId="1A89116C" w:rsidR="00520FE0" w:rsidRPr="00395023" w:rsidRDefault="008F2532" w:rsidP="008F2532">
      <w:pPr>
        <w:ind w:firstLineChars="200" w:firstLine="480"/>
      </w:pPr>
      <w:r w:rsidRPr="00395023">
        <w:rPr>
          <w:rFonts w:hint="eastAsia"/>
        </w:rPr>
        <w:t>拟将上海交通大学开发的先进数字样机相关技术纳入本标准，已授权相关专利、软件著作权：</w:t>
      </w:r>
    </w:p>
    <w:p w14:paraId="176E1C00" w14:textId="77777777" w:rsidR="008F2532" w:rsidRPr="00395023" w:rsidRDefault="008F2532" w:rsidP="008F2532">
      <w:pPr>
        <w:ind w:firstLineChars="200" w:firstLine="480"/>
      </w:pPr>
    </w:p>
    <w:tbl>
      <w:tblPr>
        <w:tblW w:w="8434" w:type="dxa"/>
        <w:tblInd w:w="213" w:type="dxa"/>
        <w:tblBorders>
          <w:top w:val="single" w:sz="12" w:space="0" w:color="auto"/>
          <w:bottom w:val="single" w:sz="12" w:space="0" w:color="auto"/>
        </w:tblBorders>
        <w:tblLayout w:type="fixed"/>
        <w:tblLook w:val="04A0" w:firstRow="1" w:lastRow="0" w:firstColumn="1" w:lastColumn="0" w:noHBand="0" w:noVBand="1"/>
      </w:tblPr>
      <w:tblGrid>
        <w:gridCol w:w="4047"/>
        <w:gridCol w:w="2403"/>
        <w:gridCol w:w="1984"/>
      </w:tblGrid>
      <w:tr w:rsidR="00395023" w:rsidRPr="00395023" w14:paraId="1577D866" w14:textId="77777777" w:rsidTr="008F2532">
        <w:tc>
          <w:tcPr>
            <w:tcW w:w="4047" w:type="dxa"/>
            <w:tcBorders>
              <w:bottom w:val="single" w:sz="6" w:space="0" w:color="auto"/>
            </w:tcBorders>
            <w:vAlign w:val="center"/>
          </w:tcPr>
          <w:p w14:paraId="65CE50A9" w14:textId="3C4267B1" w:rsidR="008F2532" w:rsidRPr="00395023" w:rsidRDefault="008F2532" w:rsidP="008F2532">
            <w:pPr>
              <w:jc w:val="center"/>
              <w:rPr>
                <w:szCs w:val="21"/>
              </w:rPr>
            </w:pPr>
            <w:r w:rsidRPr="00395023">
              <w:rPr>
                <w:rFonts w:hint="eastAsia"/>
                <w:szCs w:val="21"/>
              </w:rPr>
              <w:t>代表性发明专利</w:t>
            </w:r>
            <w:r w:rsidRPr="00395023">
              <w:rPr>
                <w:szCs w:val="21"/>
              </w:rPr>
              <w:t>/软件著作权名称</w:t>
            </w:r>
          </w:p>
        </w:tc>
        <w:tc>
          <w:tcPr>
            <w:tcW w:w="2403" w:type="dxa"/>
            <w:tcBorders>
              <w:bottom w:val="single" w:sz="6" w:space="0" w:color="auto"/>
            </w:tcBorders>
            <w:vAlign w:val="center"/>
          </w:tcPr>
          <w:p w14:paraId="32A38FE3" w14:textId="47D9E1BB" w:rsidR="008F2532" w:rsidRPr="00395023" w:rsidRDefault="008F2532" w:rsidP="008F2532">
            <w:pPr>
              <w:jc w:val="center"/>
              <w:rPr>
                <w:szCs w:val="21"/>
              </w:rPr>
            </w:pPr>
            <w:r w:rsidRPr="00395023">
              <w:rPr>
                <w:rFonts w:hint="eastAsia"/>
                <w:szCs w:val="21"/>
              </w:rPr>
              <w:t>授权号</w:t>
            </w:r>
            <w:r w:rsidRPr="00395023">
              <w:rPr>
                <w:szCs w:val="21"/>
              </w:rPr>
              <w:t>/登记号</w:t>
            </w:r>
          </w:p>
        </w:tc>
        <w:tc>
          <w:tcPr>
            <w:tcW w:w="1984" w:type="dxa"/>
            <w:tcBorders>
              <w:bottom w:val="single" w:sz="6" w:space="0" w:color="auto"/>
            </w:tcBorders>
            <w:vAlign w:val="center"/>
          </w:tcPr>
          <w:p w14:paraId="36F94FD1" w14:textId="063059E3" w:rsidR="008F2532" w:rsidRPr="00395023" w:rsidRDefault="008F2532" w:rsidP="008F2532">
            <w:pPr>
              <w:jc w:val="center"/>
              <w:rPr>
                <w:szCs w:val="21"/>
              </w:rPr>
            </w:pPr>
            <w:r w:rsidRPr="00395023">
              <w:rPr>
                <w:rFonts w:hint="eastAsia"/>
                <w:szCs w:val="21"/>
              </w:rPr>
              <w:t>单位</w:t>
            </w:r>
          </w:p>
        </w:tc>
      </w:tr>
      <w:tr w:rsidR="00395023" w:rsidRPr="00395023" w14:paraId="1AC31432" w14:textId="77777777" w:rsidTr="008F2532">
        <w:trPr>
          <w:trHeight w:val="530"/>
        </w:trPr>
        <w:tc>
          <w:tcPr>
            <w:tcW w:w="4047" w:type="dxa"/>
            <w:tcBorders>
              <w:top w:val="single" w:sz="6" w:space="0" w:color="auto"/>
              <w:bottom w:val="nil"/>
            </w:tcBorders>
            <w:vAlign w:val="center"/>
          </w:tcPr>
          <w:p w14:paraId="31B581DE" w14:textId="16553D1C" w:rsidR="008F2532" w:rsidRPr="00395023" w:rsidRDefault="008F2532" w:rsidP="008F2532">
            <w:pPr>
              <w:jc w:val="center"/>
              <w:rPr>
                <w:sz w:val="22"/>
                <w:szCs w:val="20"/>
              </w:rPr>
            </w:pPr>
            <w:r w:rsidRPr="00395023">
              <w:rPr>
                <w:sz w:val="22"/>
                <w:szCs w:val="20"/>
              </w:rPr>
              <w:t>一种通过多尺度多物理数字样机进行铅基快堆研究的方法</w:t>
            </w:r>
          </w:p>
        </w:tc>
        <w:tc>
          <w:tcPr>
            <w:tcW w:w="2403" w:type="dxa"/>
            <w:tcBorders>
              <w:top w:val="single" w:sz="6" w:space="0" w:color="auto"/>
              <w:bottom w:val="nil"/>
            </w:tcBorders>
            <w:vAlign w:val="center"/>
          </w:tcPr>
          <w:p w14:paraId="20349B80" w14:textId="28B5BD5F" w:rsidR="008F2532" w:rsidRPr="00395023" w:rsidRDefault="008F2532" w:rsidP="008F2532">
            <w:pPr>
              <w:jc w:val="center"/>
              <w:rPr>
                <w:sz w:val="22"/>
                <w:szCs w:val="20"/>
              </w:rPr>
            </w:pPr>
            <w:r w:rsidRPr="00395023">
              <w:rPr>
                <w:sz w:val="22"/>
                <w:szCs w:val="20"/>
              </w:rPr>
              <w:t>ZL202018001519.8</w:t>
            </w:r>
          </w:p>
        </w:tc>
        <w:tc>
          <w:tcPr>
            <w:tcW w:w="1984" w:type="dxa"/>
            <w:tcBorders>
              <w:top w:val="single" w:sz="6" w:space="0" w:color="auto"/>
              <w:bottom w:val="nil"/>
            </w:tcBorders>
            <w:vAlign w:val="center"/>
          </w:tcPr>
          <w:p w14:paraId="1B440010" w14:textId="07B503A6" w:rsidR="008F2532" w:rsidRPr="00395023" w:rsidRDefault="008F2532" w:rsidP="008F2532">
            <w:pPr>
              <w:jc w:val="center"/>
              <w:rPr>
                <w:sz w:val="22"/>
                <w:szCs w:val="20"/>
              </w:rPr>
            </w:pPr>
            <w:r w:rsidRPr="00395023">
              <w:rPr>
                <w:rFonts w:hint="eastAsia"/>
                <w:sz w:val="22"/>
                <w:szCs w:val="20"/>
              </w:rPr>
              <w:t>上海交通大学</w:t>
            </w:r>
          </w:p>
        </w:tc>
      </w:tr>
      <w:tr w:rsidR="00395023" w:rsidRPr="00395023" w14:paraId="37773C42" w14:textId="77777777" w:rsidTr="008F2532">
        <w:trPr>
          <w:trHeight w:val="530"/>
        </w:trPr>
        <w:tc>
          <w:tcPr>
            <w:tcW w:w="4047" w:type="dxa"/>
            <w:tcBorders>
              <w:top w:val="nil"/>
              <w:bottom w:val="nil"/>
            </w:tcBorders>
            <w:vAlign w:val="center"/>
          </w:tcPr>
          <w:p w14:paraId="48EA8659" w14:textId="3C5A4649" w:rsidR="008F2532" w:rsidRPr="00395023" w:rsidRDefault="008F2532" w:rsidP="008F2532">
            <w:pPr>
              <w:jc w:val="center"/>
              <w:rPr>
                <w:sz w:val="22"/>
                <w:szCs w:val="20"/>
              </w:rPr>
            </w:pPr>
            <w:r w:rsidRPr="00395023">
              <w:rPr>
                <w:rFonts w:hint="eastAsia"/>
                <w:sz w:val="22"/>
                <w:szCs w:val="20"/>
              </w:rPr>
              <w:t>基于统一网格的数值反应堆中子物理</w:t>
            </w:r>
            <w:r w:rsidRPr="00395023">
              <w:rPr>
                <w:sz w:val="22"/>
                <w:szCs w:val="20"/>
              </w:rPr>
              <w:t>-热工水力-材料腐蚀耦合分析方法</w:t>
            </w:r>
          </w:p>
        </w:tc>
        <w:tc>
          <w:tcPr>
            <w:tcW w:w="2403" w:type="dxa"/>
            <w:tcBorders>
              <w:top w:val="nil"/>
              <w:bottom w:val="nil"/>
            </w:tcBorders>
            <w:vAlign w:val="center"/>
          </w:tcPr>
          <w:p w14:paraId="75937C5E" w14:textId="5275F742" w:rsidR="008F2532" w:rsidRPr="00395023" w:rsidRDefault="008F2532" w:rsidP="008F2532">
            <w:pPr>
              <w:jc w:val="center"/>
              <w:rPr>
                <w:sz w:val="22"/>
                <w:szCs w:val="20"/>
              </w:rPr>
            </w:pPr>
            <w:r w:rsidRPr="00395023">
              <w:rPr>
                <w:sz w:val="22"/>
                <w:szCs w:val="20"/>
              </w:rPr>
              <w:t>ZL202311413706.6</w:t>
            </w:r>
          </w:p>
        </w:tc>
        <w:tc>
          <w:tcPr>
            <w:tcW w:w="1984" w:type="dxa"/>
            <w:tcBorders>
              <w:top w:val="nil"/>
              <w:bottom w:val="nil"/>
            </w:tcBorders>
            <w:vAlign w:val="center"/>
          </w:tcPr>
          <w:p w14:paraId="6830E968" w14:textId="7DFD1086" w:rsidR="008F2532" w:rsidRPr="00395023" w:rsidRDefault="008F2532" w:rsidP="008F2532">
            <w:pPr>
              <w:jc w:val="center"/>
              <w:rPr>
                <w:sz w:val="22"/>
                <w:szCs w:val="20"/>
              </w:rPr>
            </w:pPr>
            <w:r w:rsidRPr="00395023">
              <w:rPr>
                <w:rFonts w:hint="eastAsia"/>
                <w:sz w:val="22"/>
                <w:szCs w:val="20"/>
              </w:rPr>
              <w:t>上海交通大学</w:t>
            </w:r>
          </w:p>
        </w:tc>
      </w:tr>
      <w:tr w:rsidR="00395023" w:rsidRPr="00395023" w14:paraId="375B961F" w14:textId="77777777" w:rsidTr="008F2532">
        <w:trPr>
          <w:trHeight w:val="530"/>
        </w:trPr>
        <w:tc>
          <w:tcPr>
            <w:tcW w:w="4047" w:type="dxa"/>
            <w:tcBorders>
              <w:top w:val="nil"/>
              <w:bottom w:val="nil"/>
            </w:tcBorders>
            <w:vAlign w:val="center"/>
          </w:tcPr>
          <w:p w14:paraId="744F8504" w14:textId="1E87933E" w:rsidR="008F2532" w:rsidRPr="00395023" w:rsidRDefault="008F2532" w:rsidP="008F2532">
            <w:pPr>
              <w:jc w:val="center"/>
              <w:rPr>
                <w:sz w:val="22"/>
                <w:szCs w:val="20"/>
              </w:rPr>
            </w:pPr>
            <w:r w:rsidRPr="00395023">
              <w:rPr>
                <w:rFonts w:hint="eastAsia"/>
                <w:sz w:val="22"/>
                <w:szCs w:val="20"/>
              </w:rPr>
              <w:t>针对三维瞬态多群中子扩散方程的非结构网格变分</w:t>
            </w:r>
            <w:proofErr w:type="gramStart"/>
            <w:r w:rsidRPr="00395023">
              <w:rPr>
                <w:rFonts w:hint="eastAsia"/>
                <w:sz w:val="22"/>
                <w:szCs w:val="20"/>
              </w:rPr>
              <w:t>节块方法</w:t>
            </w:r>
            <w:proofErr w:type="gramEnd"/>
          </w:p>
        </w:tc>
        <w:tc>
          <w:tcPr>
            <w:tcW w:w="2403" w:type="dxa"/>
            <w:tcBorders>
              <w:top w:val="nil"/>
              <w:bottom w:val="nil"/>
            </w:tcBorders>
            <w:vAlign w:val="center"/>
          </w:tcPr>
          <w:p w14:paraId="31C41A7A" w14:textId="7915C00F" w:rsidR="008F2532" w:rsidRPr="00395023" w:rsidRDefault="008F2532" w:rsidP="008F2532">
            <w:pPr>
              <w:jc w:val="center"/>
              <w:rPr>
                <w:sz w:val="22"/>
                <w:szCs w:val="20"/>
              </w:rPr>
            </w:pPr>
            <w:r w:rsidRPr="00395023">
              <w:rPr>
                <w:sz w:val="22"/>
                <w:szCs w:val="20"/>
              </w:rPr>
              <w:t>ZL202210180158.6</w:t>
            </w:r>
          </w:p>
        </w:tc>
        <w:tc>
          <w:tcPr>
            <w:tcW w:w="1984" w:type="dxa"/>
            <w:tcBorders>
              <w:top w:val="nil"/>
              <w:bottom w:val="nil"/>
            </w:tcBorders>
            <w:vAlign w:val="center"/>
          </w:tcPr>
          <w:p w14:paraId="29AEF0E0" w14:textId="1EC97134" w:rsidR="008F2532" w:rsidRPr="00395023" w:rsidRDefault="008F2532" w:rsidP="008F2532">
            <w:pPr>
              <w:jc w:val="center"/>
              <w:rPr>
                <w:sz w:val="22"/>
                <w:szCs w:val="20"/>
              </w:rPr>
            </w:pPr>
            <w:r w:rsidRPr="00395023">
              <w:rPr>
                <w:rFonts w:hint="eastAsia"/>
                <w:sz w:val="22"/>
                <w:szCs w:val="20"/>
              </w:rPr>
              <w:t>上海交通大学</w:t>
            </w:r>
          </w:p>
        </w:tc>
      </w:tr>
      <w:tr w:rsidR="00395023" w:rsidRPr="00395023" w14:paraId="10C7B86D" w14:textId="77777777" w:rsidTr="008F2532">
        <w:trPr>
          <w:trHeight w:val="530"/>
        </w:trPr>
        <w:tc>
          <w:tcPr>
            <w:tcW w:w="4047" w:type="dxa"/>
            <w:tcBorders>
              <w:top w:val="nil"/>
              <w:bottom w:val="nil"/>
            </w:tcBorders>
            <w:vAlign w:val="center"/>
          </w:tcPr>
          <w:p w14:paraId="38AEF9BF" w14:textId="668044D2" w:rsidR="008F2532" w:rsidRPr="00395023" w:rsidRDefault="008F2532" w:rsidP="008F2532">
            <w:pPr>
              <w:jc w:val="center"/>
              <w:rPr>
                <w:sz w:val="22"/>
                <w:szCs w:val="20"/>
              </w:rPr>
            </w:pPr>
            <w:r w:rsidRPr="00395023">
              <w:rPr>
                <w:rFonts w:hint="eastAsia"/>
                <w:sz w:val="22"/>
                <w:szCs w:val="20"/>
              </w:rPr>
              <w:t>小型反应堆轻量化屏蔽深度耦合优化方法</w:t>
            </w:r>
          </w:p>
        </w:tc>
        <w:tc>
          <w:tcPr>
            <w:tcW w:w="2403" w:type="dxa"/>
            <w:tcBorders>
              <w:top w:val="nil"/>
              <w:bottom w:val="nil"/>
            </w:tcBorders>
            <w:vAlign w:val="center"/>
          </w:tcPr>
          <w:p w14:paraId="2BAFE084" w14:textId="467241E6" w:rsidR="008F2532" w:rsidRPr="00395023" w:rsidRDefault="008F2532" w:rsidP="008F2532">
            <w:pPr>
              <w:jc w:val="center"/>
              <w:rPr>
                <w:sz w:val="22"/>
                <w:szCs w:val="20"/>
              </w:rPr>
            </w:pPr>
            <w:r w:rsidRPr="00395023">
              <w:rPr>
                <w:sz w:val="22"/>
                <w:szCs w:val="20"/>
              </w:rPr>
              <w:t>ZL202310617361.X</w:t>
            </w:r>
          </w:p>
        </w:tc>
        <w:tc>
          <w:tcPr>
            <w:tcW w:w="1984" w:type="dxa"/>
            <w:tcBorders>
              <w:top w:val="nil"/>
              <w:bottom w:val="nil"/>
            </w:tcBorders>
            <w:vAlign w:val="center"/>
          </w:tcPr>
          <w:p w14:paraId="1544F069" w14:textId="6F7FF28E" w:rsidR="008F2532" w:rsidRPr="00395023" w:rsidRDefault="008F2532" w:rsidP="008F2532">
            <w:pPr>
              <w:jc w:val="center"/>
              <w:rPr>
                <w:sz w:val="22"/>
                <w:szCs w:val="20"/>
              </w:rPr>
            </w:pPr>
            <w:r w:rsidRPr="00395023">
              <w:rPr>
                <w:rFonts w:hint="eastAsia"/>
                <w:sz w:val="22"/>
                <w:szCs w:val="20"/>
              </w:rPr>
              <w:t>上海交通大学</w:t>
            </w:r>
          </w:p>
        </w:tc>
      </w:tr>
      <w:tr w:rsidR="00395023" w:rsidRPr="00395023" w14:paraId="31E35B2B" w14:textId="77777777" w:rsidTr="008F2532">
        <w:trPr>
          <w:trHeight w:val="530"/>
        </w:trPr>
        <w:tc>
          <w:tcPr>
            <w:tcW w:w="4047" w:type="dxa"/>
            <w:tcBorders>
              <w:top w:val="nil"/>
              <w:bottom w:val="nil"/>
            </w:tcBorders>
            <w:vAlign w:val="center"/>
          </w:tcPr>
          <w:p w14:paraId="59D3C515" w14:textId="09BA24DC" w:rsidR="008F2532" w:rsidRPr="00395023" w:rsidRDefault="008F2532" w:rsidP="008F2532">
            <w:pPr>
              <w:jc w:val="center"/>
              <w:rPr>
                <w:sz w:val="22"/>
                <w:szCs w:val="20"/>
              </w:rPr>
            </w:pPr>
            <w:r w:rsidRPr="00395023">
              <w:rPr>
                <w:rFonts w:hint="eastAsia"/>
                <w:sz w:val="22"/>
                <w:szCs w:val="20"/>
              </w:rPr>
              <w:t>核反应堆数字孪生关键参数自主优化数据反演方法</w:t>
            </w:r>
          </w:p>
        </w:tc>
        <w:tc>
          <w:tcPr>
            <w:tcW w:w="2403" w:type="dxa"/>
            <w:tcBorders>
              <w:top w:val="nil"/>
              <w:bottom w:val="nil"/>
            </w:tcBorders>
            <w:vAlign w:val="center"/>
          </w:tcPr>
          <w:p w14:paraId="2C3CA659" w14:textId="73B4C5D0" w:rsidR="008F2532" w:rsidRPr="00395023" w:rsidRDefault="008F2532" w:rsidP="008F2532">
            <w:pPr>
              <w:jc w:val="center"/>
              <w:rPr>
                <w:sz w:val="22"/>
                <w:szCs w:val="20"/>
              </w:rPr>
            </w:pPr>
            <w:r w:rsidRPr="00395023">
              <w:rPr>
                <w:sz w:val="22"/>
                <w:szCs w:val="20"/>
              </w:rPr>
              <w:t>ZL202211299608.X</w:t>
            </w:r>
          </w:p>
        </w:tc>
        <w:tc>
          <w:tcPr>
            <w:tcW w:w="1984" w:type="dxa"/>
            <w:tcBorders>
              <w:top w:val="nil"/>
              <w:bottom w:val="nil"/>
            </w:tcBorders>
            <w:vAlign w:val="center"/>
          </w:tcPr>
          <w:p w14:paraId="2DC67781" w14:textId="734A8B2B" w:rsidR="008F2532" w:rsidRPr="00395023" w:rsidRDefault="008F2532" w:rsidP="008F2532">
            <w:pPr>
              <w:jc w:val="center"/>
              <w:rPr>
                <w:sz w:val="22"/>
                <w:szCs w:val="20"/>
              </w:rPr>
            </w:pPr>
            <w:r w:rsidRPr="00395023">
              <w:rPr>
                <w:rFonts w:hint="eastAsia"/>
                <w:sz w:val="22"/>
                <w:szCs w:val="20"/>
              </w:rPr>
              <w:t>上海交通大学</w:t>
            </w:r>
          </w:p>
        </w:tc>
      </w:tr>
      <w:tr w:rsidR="00395023" w:rsidRPr="00395023" w14:paraId="2C0A0960" w14:textId="77777777" w:rsidTr="008F2532">
        <w:trPr>
          <w:trHeight w:val="530"/>
        </w:trPr>
        <w:tc>
          <w:tcPr>
            <w:tcW w:w="4047" w:type="dxa"/>
            <w:tcBorders>
              <w:top w:val="nil"/>
              <w:bottom w:val="nil"/>
            </w:tcBorders>
            <w:vAlign w:val="center"/>
          </w:tcPr>
          <w:p w14:paraId="2BBFD066" w14:textId="5753C78A" w:rsidR="008F2532" w:rsidRPr="00395023" w:rsidRDefault="008F2532" w:rsidP="008F2532">
            <w:pPr>
              <w:jc w:val="center"/>
              <w:rPr>
                <w:sz w:val="22"/>
                <w:szCs w:val="20"/>
              </w:rPr>
            </w:pPr>
            <w:r w:rsidRPr="00395023">
              <w:rPr>
                <w:rFonts w:hint="eastAsia"/>
                <w:sz w:val="22"/>
                <w:szCs w:val="20"/>
              </w:rPr>
              <w:t>空间热离子反应堆瞬态行为多尺度多物理场耦合分析方法</w:t>
            </w:r>
          </w:p>
        </w:tc>
        <w:tc>
          <w:tcPr>
            <w:tcW w:w="2403" w:type="dxa"/>
            <w:tcBorders>
              <w:top w:val="nil"/>
              <w:bottom w:val="nil"/>
            </w:tcBorders>
            <w:vAlign w:val="center"/>
          </w:tcPr>
          <w:p w14:paraId="78AA94FF" w14:textId="4836A716" w:rsidR="008F2532" w:rsidRPr="00395023" w:rsidRDefault="008F2532" w:rsidP="008F2532">
            <w:pPr>
              <w:jc w:val="center"/>
              <w:rPr>
                <w:sz w:val="22"/>
                <w:szCs w:val="20"/>
              </w:rPr>
            </w:pPr>
            <w:r w:rsidRPr="00395023">
              <w:rPr>
                <w:sz w:val="22"/>
                <w:szCs w:val="20"/>
              </w:rPr>
              <w:t>ZL202210932651.9</w:t>
            </w:r>
          </w:p>
        </w:tc>
        <w:tc>
          <w:tcPr>
            <w:tcW w:w="1984" w:type="dxa"/>
            <w:tcBorders>
              <w:top w:val="nil"/>
              <w:bottom w:val="nil"/>
            </w:tcBorders>
            <w:vAlign w:val="center"/>
          </w:tcPr>
          <w:p w14:paraId="4322E077" w14:textId="16C134E6" w:rsidR="008F2532" w:rsidRPr="00395023" w:rsidRDefault="008F2532" w:rsidP="008F2532">
            <w:pPr>
              <w:jc w:val="center"/>
              <w:rPr>
                <w:sz w:val="22"/>
                <w:szCs w:val="20"/>
              </w:rPr>
            </w:pPr>
            <w:r w:rsidRPr="00395023">
              <w:rPr>
                <w:rFonts w:hint="eastAsia"/>
                <w:sz w:val="22"/>
                <w:szCs w:val="20"/>
              </w:rPr>
              <w:t>上海交通大学</w:t>
            </w:r>
          </w:p>
        </w:tc>
      </w:tr>
      <w:tr w:rsidR="00395023" w:rsidRPr="00395023" w14:paraId="4E9EF815" w14:textId="77777777" w:rsidTr="008F2532">
        <w:trPr>
          <w:trHeight w:val="530"/>
        </w:trPr>
        <w:tc>
          <w:tcPr>
            <w:tcW w:w="4047" w:type="dxa"/>
            <w:tcBorders>
              <w:top w:val="nil"/>
              <w:bottom w:val="nil"/>
            </w:tcBorders>
            <w:vAlign w:val="center"/>
          </w:tcPr>
          <w:p w14:paraId="0FD912EB" w14:textId="03A6CC34" w:rsidR="008F2532" w:rsidRPr="00395023" w:rsidRDefault="008F2532" w:rsidP="008F2532">
            <w:pPr>
              <w:jc w:val="center"/>
              <w:rPr>
                <w:sz w:val="22"/>
                <w:szCs w:val="20"/>
              </w:rPr>
            </w:pPr>
            <w:r w:rsidRPr="00395023">
              <w:rPr>
                <w:rFonts w:hint="eastAsia"/>
                <w:sz w:val="22"/>
                <w:szCs w:val="20"/>
              </w:rPr>
              <w:t>数值反应堆实时在线系统状态修正方法</w:t>
            </w:r>
          </w:p>
        </w:tc>
        <w:tc>
          <w:tcPr>
            <w:tcW w:w="2403" w:type="dxa"/>
            <w:tcBorders>
              <w:top w:val="nil"/>
              <w:bottom w:val="nil"/>
            </w:tcBorders>
            <w:vAlign w:val="center"/>
          </w:tcPr>
          <w:p w14:paraId="15B77BD1" w14:textId="68560CD1" w:rsidR="008F2532" w:rsidRPr="00395023" w:rsidRDefault="008F2532" w:rsidP="008F2532">
            <w:pPr>
              <w:jc w:val="center"/>
              <w:rPr>
                <w:sz w:val="22"/>
                <w:szCs w:val="20"/>
              </w:rPr>
            </w:pPr>
            <w:r w:rsidRPr="00395023">
              <w:rPr>
                <w:sz w:val="22"/>
                <w:szCs w:val="20"/>
              </w:rPr>
              <w:t>ZL202310586451.7</w:t>
            </w:r>
          </w:p>
        </w:tc>
        <w:tc>
          <w:tcPr>
            <w:tcW w:w="1984" w:type="dxa"/>
            <w:tcBorders>
              <w:top w:val="nil"/>
              <w:bottom w:val="nil"/>
            </w:tcBorders>
            <w:vAlign w:val="center"/>
          </w:tcPr>
          <w:p w14:paraId="3B15CE7A" w14:textId="1CD39D59" w:rsidR="008F2532" w:rsidRPr="00395023" w:rsidRDefault="008F2532" w:rsidP="008F2532">
            <w:pPr>
              <w:jc w:val="center"/>
              <w:rPr>
                <w:sz w:val="22"/>
                <w:szCs w:val="20"/>
              </w:rPr>
            </w:pPr>
            <w:r w:rsidRPr="00395023">
              <w:rPr>
                <w:rFonts w:hint="eastAsia"/>
                <w:sz w:val="22"/>
                <w:szCs w:val="20"/>
              </w:rPr>
              <w:t>上海交通大学</w:t>
            </w:r>
          </w:p>
        </w:tc>
      </w:tr>
      <w:tr w:rsidR="00395023" w:rsidRPr="00395023" w14:paraId="35F08EDB" w14:textId="77777777" w:rsidTr="008F2532">
        <w:trPr>
          <w:trHeight w:val="530"/>
        </w:trPr>
        <w:tc>
          <w:tcPr>
            <w:tcW w:w="4047" w:type="dxa"/>
            <w:tcBorders>
              <w:top w:val="nil"/>
              <w:bottom w:val="nil"/>
            </w:tcBorders>
            <w:vAlign w:val="center"/>
          </w:tcPr>
          <w:p w14:paraId="0A1147E3" w14:textId="55BDE3AA" w:rsidR="008F2532" w:rsidRPr="00395023" w:rsidRDefault="008F2532" w:rsidP="008F2532">
            <w:pPr>
              <w:jc w:val="center"/>
              <w:rPr>
                <w:sz w:val="22"/>
                <w:szCs w:val="20"/>
              </w:rPr>
            </w:pPr>
            <w:r w:rsidRPr="00395023">
              <w:rPr>
                <w:rFonts w:hint="eastAsia"/>
                <w:sz w:val="22"/>
                <w:szCs w:val="20"/>
              </w:rPr>
              <w:lastRenderedPageBreak/>
              <w:t>基于多精度数据融合的反应堆数字孪生构建与可视化辅助软件</w:t>
            </w:r>
          </w:p>
        </w:tc>
        <w:tc>
          <w:tcPr>
            <w:tcW w:w="2403" w:type="dxa"/>
            <w:tcBorders>
              <w:top w:val="nil"/>
              <w:bottom w:val="nil"/>
            </w:tcBorders>
            <w:vAlign w:val="center"/>
          </w:tcPr>
          <w:p w14:paraId="53FF94EC" w14:textId="67209737" w:rsidR="008F2532" w:rsidRPr="00395023" w:rsidRDefault="008F2532" w:rsidP="008F2532">
            <w:pPr>
              <w:jc w:val="center"/>
              <w:rPr>
                <w:sz w:val="22"/>
                <w:szCs w:val="20"/>
              </w:rPr>
            </w:pPr>
            <w:r w:rsidRPr="00395023">
              <w:rPr>
                <w:sz w:val="22"/>
                <w:szCs w:val="20"/>
              </w:rPr>
              <w:t>2024SR0401812</w:t>
            </w:r>
          </w:p>
        </w:tc>
        <w:tc>
          <w:tcPr>
            <w:tcW w:w="1984" w:type="dxa"/>
            <w:tcBorders>
              <w:top w:val="nil"/>
              <w:bottom w:val="nil"/>
            </w:tcBorders>
            <w:vAlign w:val="center"/>
          </w:tcPr>
          <w:p w14:paraId="0F010A30" w14:textId="3768BC17" w:rsidR="008F2532" w:rsidRPr="00395023" w:rsidRDefault="008F2532" w:rsidP="008F2532">
            <w:pPr>
              <w:jc w:val="center"/>
              <w:rPr>
                <w:sz w:val="22"/>
                <w:szCs w:val="20"/>
              </w:rPr>
            </w:pPr>
            <w:r w:rsidRPr="00395023">
              <w:rPr>
                <w:rFonts w:hint="eastAsia"/>
                <w:sz w:val="22"/>
                <w:szCs w:val="20"/>
              </w:rPr>
              <w:t>上海交通大学</w:t>
            </w:r>
          </w:p>
        </w:tc>
      </w:tr>
      <w:tr w:rsidR="00395023" w:rsidRPr="00395023" w14:paraId="2EA13C49" w14:textId="77777777" w:rsidTr="008F2532">
        <w:trPr>
          <w:trHeight w:val="530"/>
        </w:trPr>
        <w:tc>
          <w:tcPr>
            <w:tcW w:w="4047" w:type="dxa"/>
            <w:tcBorders>
              <w:top w:val="nil"/>
              <w:bottom w:val="nil"/>
            </w:tcBorders>
            <w:vAlign w:val="center"/>
          </w:tcPr>
          <w:p w14:paraId="1B453CCE" w14:textId="70B2AB36" w:rsidR="008F2532" w:rsidRPr="00395023" w:rsidRDefault="008F2532" w:rsidP="008F2532">
            <w:pPr>
              <w:jc w:val="center"/>
              <w:rPr>
                <w:sz w:val="22"/>
                <w:szCs w:val="20"/>
              </w:rPr>
            </w:pPr>
            <w:r w:rsidRPr="00395023">
              <w:rPr>
                <w:rFonts w:hint="eastAsia"/>
                <w:sz w:val="22"/>
                <w:szCs w:val="20"/>
              </w:rPr>
              <w:t>基于统一框架的</w:t>
            </w:r>
            <w:proofErr w:type="gramStart"/>
            <w:r w:rsidRPr="00395023">
              <w:rPr>
                <w:rFonts w:hint="eastAsia"/>
                <w:sz w:val="22"/>
                <w:szCs w:val="20"/>
              </w:rPr>
              <w:t>数值反应堆核</w:t>
            </w:r>
            <w:proofErr w:type="gramEnd"/>
            <w:r w:rsidRPr="00395023">
              <w:rPr>
                <w:sz w:val="22"/>
                <w:szCs w:val="20"/>
              </w:rPr>
              <w:t>-热-材多物理耦合软件</w:t>
            </w:r>
          </w:p>
        </w:tc>
        <w:tc>
          <w:tcPr>
            <w:tcW w:w="2403" w:type="dxa"/>
            <w:tcBorders>
              <w:top w:val="nil"/>
              <w:bottom w:val="nil"/>
            </w:tcBorders>
            <w:vAlign w:val="center"/>
          </w:tcPr>
          <w:p w14:paraId="4A3A64C1" w14:textId="0D75468F" w:rsidR="008F2532" w:rsidRPr="00395023" w:rsidRDefault="008F2532" w:rsidP="008F2532">
            <w:pPr>
              <w:jc w:val="center"/>
              <w:rPr>
                <w:sz w:val="22"/>
                <w:szCs w:val="20"/>
              </w:rPr>
            </w:pPr>
            <w:r w:rsidRPr="00395023">
              <w:rPr>
                <w:sz w:val="22"/>
                <w:szCs w:val="20"/>
              </w:rPr>
              <w:t>2023SR1609259</w:t>
            </w:r>
          </w:p>
        </w:tc>
        <w:tc>
          <w:tcPr>
            <w:tcW w:w="1984" w:type="dxa"/>
            <w:tcBorders>
              <w:top w:val="nil"/>
              <w:bottom w:val="nil"/>
            </w:tcBorders>
            <w:vAlign w:val="center"/>
          </w:tcPr>
          <w:p w14:paraId="3D38299D" w14:textId="13FBDD63" w:rsidR="008F2532" w:rsidRPr="00395023" w:rsidRDefault="008F2532" w:rsidP="008F2532">
            <w:pPr>
              <w:jc w:val="center"/>
              <w:rPr>
                <w:sz w:val="22"/>
                <w:szCs w:val="20"/>
              </w:rPr>
            </w:pPr>
            <w:r w:rsidRPr="00395023">
              <w:rPr>
                <w:rFonts w:hint="eastAsia"/>
                <w:sz w:val="22"/>
                <w:szCs w:val="20"/>
              </w:rPr>
              <w:t>上海交通大学</w:t>
            </w:r>
          </w:p>
        </w:tc>
      </w:tr>
      <w:tr w:rsidR="008F2532" w:rsidRPr="00395023" w14:paraId="1E49EDE3" w14:textId="77777777" w:rsidTr="008F2532">
        <w:trPr>
          <w:trHeight w:val="530"/>
        </w:trPr>
        <w:tc>
          <w:tcPr>
            <w:tcW w:w="4047" w:type="dxa"/>
            <w:tcBorders>
              <w:top w:val="nil"/>
              <w:bottom w:val="single" w:sz="12" w:space="0" w:color="auto"/>
            </w:tcBorders>
            <w:vAlign w:val="center"/>
          </w:tcPr>
          <w:p w14:paraId="4F9AE772" w14:textId="79D44DFC" w:rsidR="008F2532" w:rsidRPr="00395023" w:rsidRDefault="008F2532" w:rsidP="008F2532">
            <w:pPr>
              <w:jc w:val="center"/>
              <w:rPr>
                <w:sz w:val="22"/>
                <w:szCs w:val="20"/>
              </w:rPr>
            </w:pPr>
            <w:r w:rsidRPr="00395023">
              <w:rPr>
                <w:rFonts w:hint="eastAsia"/>
                <w:sz w:val="22"/>
                <w:szCs w:val="20"/>
              </w:rPr>
              <w:t>数值反应堆模型自动更新软件</w:t>
            </w:r>
          </w:p>
        </w:tc>
        <w:tc>
          <w:tcPr>
            <w:tcW w:w="2403" w:type="dxa"/>
            <w:tcBorders>
              <w:top w:val="nil"/>
              <w:bottom w:val="single" w:sz="12" w:space="0" w:color="auto"/>
            </w:tcBorders>
            <w:vAlign w:val="center"/>
          </w:tcPr>
          <w:p w14:paraId="521D7726" w14:textId="41881813" w:rsidR="008F2532" w:rsidRPr="00395023" w:rsidRDefault="008F2532" w:rsidP="008F2532">
            <w:pPr>
              <w:jc w:val="center"/>
              <w:rPr>
                <w:sz w:val="22"/>
                <w:szCs w:val="20"/>
              </w:rPr>
            </w:pPr>
            <w:r w:rsidRPr="00395023">
              <w:rPr>
                <w:sz w:val="22"/>
                <w:szCs w:val="20"/>
              </w:rPr>
              <w:t>2023SR1609580</w:t>
            </w:r>
          </w:p>
        </w:tc>
        <w:tc>
          <w:tcPr>
            <w:tcW w:w="1984" w:type="dxa"/>
            <w:tcBorders>
              <w:top w:val="nil"/>
              <w:bottom w:val="single" w:sz="12" w:space="0" w:color="auto"/>
            </w:tcBorders>
            <w:vAlign w:val="center"/>
          </w:tcPr>
          <w:p w14:paraId="04ADE57F" w14:textId="487F3D28" w:rsidR="008F2532" w:rsidRPr="00395023" w:rsidRDefault="008F2532" w:rsidP="008F2532">
            <w:pPr>
              <w:jc w:val="center"/>
              <w:rPr>
                <w:sz w:val="22"/>
                <w:szCs w:val="20"/>
              </w:rPr>
            </w:pPr>
            <w:r w:rsidRPr="00395023">
              <w:rPr>
                <w:rFonts w:hint="eastAsia"/>
                <w:sz w:val="22"/>
                <w:szCs w:val="20"/>
              </w:rPr>
              <w:t>上海交通大学</w:t>
            </w:r>
          </w:p>
        </w:tc>
      </w:tr>
    </w:tbl>
    <w:p w14:paraId="6CE9D3B9" w14:textId="77777777" w:rsidR="00285F39" w:rsidRPr="00395023" w:rsidRDefault="00285F39" w:rsidP="00FB6407"/>
    <w:p w14:paraId="46A97B90" w14:textId="3AB4153C" w:rsidR="00285F39" w:rsidRPr="00395023" w:rsidRDefault="00285F39" w:rsidP="006633BA">
      <w:pPr>
        <w:outlineLvl w:val="0"/>
        <w:rPr>
          <w:b/>
          <w:sz w:val="28"/>
          <w:szCs w:val="28"/>
        </w:rPr>
      </w:pPr>
      <w:r w:rsidRPr="00395023">
        <w:rPr>
          <w:rFonts w:hint="eastAsia"/>
          <w:b/>
          <w:sz w:val="28"/>
          <w:szCs w:val="28"/>
        </w:rPr>
        <w:t>五、预期达到的社会效益、对产业发展的作用等情况</w:t>
      </w:r>
    </w:p>
    <w:p w14:paraId="2AE33D85" w14:textId="77777777" w:rsidR="00E80FE9" w:rsidRPr="00395023" w:rsidRDefault="00E80FE9" w:rsidP="00E80FE9">
      <w:pPr>
        <w:ind w:firstLineChars="200" w:firstLine="480"/>
      </w:pPr>
      <w:r w:rsidRPr="00395023">
        <w:t>本标准的制定与实施将为核能行业带来显著的社会效益，并推动产业技术升级与可持续发展，具体体现在以下方面：</w:t>
      </w:r>
    </w:p>
    <w:p w14:paraId="6ABBDAC0" w14:textId="156704E7" w:rsidR="00E80FE9" w:rsidRPr="00395023" w:rsidRDefault="00E80FE9" w:rsidP="00A1417C">
      <w:r w:rsidRPr="00395023">
        <w:rPr>
          <w:rFonts w:hint="eastAsia"/>
        </w:rPr>
        <w:t>（</w:t>
      </w:r>
      <w:r w:rsidRPr="00395023">
        <w:t>1</w:t>
      </w:r>
      <w:r w:rsidRPr="00395023">
        <w:rPr>
          <w:rFonts w:hint="eastAsia"/>
        </w:rPr>
        <w:t>）</w:t>
      </w:r>
      <w:r w:rsidRPr="00395023">
        <w:t>社会效益</w:t>
      </w:r>
      <w:r w:rsidR="00327CC6" w:rsidRPr="00395023">
        <w:rPr>
          <w:rFonts w:hint="eastAsia"/>
        </w:rPr>
        <w:t>：</w:t>
      </w:r>
    </w:p>
    <w:p w14:paraId="43C3E3DF" w14:textId="1F39E78E" w:rsidR="00E80FE9" w:rsidRPr="00395023" w:rsidRDefault="00E80FE9" w:rsidP="00E80FE9">
      <w:pPr>
        <w:ind w:firstLineChars="200" w:firstLine="480"/>
      </w:pPr>
      <w:r w:rsidRPr="00395023">
        <w:t>提升核能安全性：通过数字样机对事故场景的精准模拟（如第6.1.2条“安全系统模拟”），可提前识别设计缺陷与运行风险，降低核事故概率，增强公众对核电安全的信心</w:t>
      </w:r>
      <w:r w:rsidRPr="00395023">
        <w:rPr>
          <w:rFonts w:hint="eastAsia"/>
        </w:rPr>
        <w:t>；</w:t>
      </w:r>
    </w:p>
    <w:p w14:paraId="4D09BFF9" w14:textId="182C443E" w:rsidR="00E80FE9" w:rsidRPr="00395023" w:rsidRDefault="00E80FE9" w:rsidP="00E80FE9">
      <w:pPr>
        <w:ind w:firstLineChars="200" w:firstLine="480"/>
      </w:pPr>
      <w:r w:rsidRPr="00395023">
        <w:t>助力“双碳”目标实现：优化核反应堆设计与运行效率（第4.1.4条“多物理模型集成性”），提升核电经济性，推动核能作为清洁能源的规模化应用，减少碳排放</w:t>
      </w:r>
      <w:r w:rsidRPr="00395023">
        <w:rPr>
          <w:rFonts w:hint="eastAsia"/>
        </w:rPr>
        <w:t>；</w:t>
      </w:r>
    </w:p>
    <w:p w14:paraId="0A1684C2" w14:textId="563F7E9A" w:rsidR="00E80FE9" w:rsidRPr="00395023" w:rsidRDefault="00E80FE9" w:rsidP="00E80FE9">
      <w:pPr>
        <w:ind w:firstLineChars="200" w:firstLine="480"/>
      </w:pPr>
      <w:r w:rsidRPr="00395023">
        <w:t>促进科技创新与人才培养：标准化数字样机开发流程（第7章“构建规范”）为科研机构与企业提供技术框架，加速新技术研发；通过虚拟培训（第5.1.3条“用户交互”）培养高素质核电人才。</w:t>
      </w:r>
    </w:p>
    <w:p w14:paraId="1CEFBD07" w14:textId="2C33E191" w:rsidR="00E80FE9" w:rsidRPr="00395023" w:rsidRDefault="00E80FE9" w:rsidP="00A1417C">
      <w:r w:rsidRPr="00395023">
        <w:rPr>
          <w:rFonts w:hint="eastAsia"/>
        </w:rPr>
        <w:t>（</w:t>
      </w:r>
      <w:r w:rsidRPr="00395023">
        <w:t>2</w:t>
      </w:r>
      <w:r w:rsidRPr="00395023">
        <w:rPr>
          <w:rFonts w:hint="eastAsia"/>
        </w:rPr>
        <w:t>）</w:t>
      </w:r>
      <w:r w:rsidRPr="00395023">
        <w:t>对产业发展的促进作用</w:t>
      </w:r>
      <w:r w:rsidR="00327CC6" w:rsidRPr="00395023">
        <w:rPr>
          <w:rFonts w:hint="eastAsia"/>
        </w:rPr>
        <w:t>：</w:t>
      </w:r>
    </w:p>
    <w:p w14:paraId="34337203" w14:textId="4BEFBEAD" w:rsidR="00E80FE9" w:rsidRPr="00395023" w:rsidRDefault="00E80FE9" w:rsidP="00E80FE9">
      <w:pPr>
        <w:ind w:firstLineChars="200" w:firstLine="480"/>
      </w:pPr>
      <w:r w:rsidRPr="00395023">
        <w:t>推动数字化转型：统一数字样机技术规范（第4-9章），促进核能行业从传统物理原型开发向数字化研发模式转型，缩短新型反应堆研发周期30%以上</w:t>
      </w:r>
      <w:r w:rsidRPr="00395023">
        <w:rPr>
          <w:rFonts w:hint="eastAsia"/>
        </w:rPr>
        <w:t>；</w:t>
      </w:r>
    </w:p>
    <w:p w14:paraId="34A9A6F8" w14:textId="66CE78A8" w:rsidR="00E80FE9" w:rsidRPr="00395023" w:rsidRDefault="00E80FE9" w:rsidP="00E80FE9">
      <w:pPr>
        <w:ind w:firstLineChars="200" w:firstLine="480"/>
      </w:pPr>
      <w:r w:rsidRPr="00395023">
        <w:t>优化产业结构：通过模块化构建（第7.1条）与跨平台兼容性（第7.3.2条），降低中小企业技术门槛，吸引更多企业参与核能数字化产业链，形成协同创新生态</w:t>
      </w:r>
      <w:r w:rsidRPr="00395023">
        <w:rPr>
          <w:rFonts w:hint="eastAsia"/>
        </w:rPr>
        <w:t>；</w:t>
      </w:r>
    </w:p>
    <w:p w14:paraId="37563554" w14:textId="6DE45C08" w:rsidR="00E80FE9" w:rsidRPr="00395023" w:rsidRDefault="00E80FE9" w:rsidP="00296C31">
      <w:pPr>
        <w:ind w:firstLineChars="200" w:firstLine="480"/>
      </w:pPr>
      <w:r w:rsidRPr="00395023">
        <w:t>增强国际竞争力：填补我国核反应堆数字样机标准空白，为高温气冷堆、快堆等第四代核能系统提供技术支撑，助力中国核电技术“走出去”</w:t>
      </w:r>
      <w:r w:rsidRPr="00395023">
        <w:rPr>
          <w:rFonts w:hint="eastAsia"/>
        </w:rPr>
        <w:t>。</w:t>
      </w:r>
    </w:p>
    <w:p w14:paraId="34F21A00" w14:textId="77777777" w:rsidR="00DC29B1" w:rsidRPr="00395023" w:rsidRDefault="00DC29B1" w:rsidP="00FB6407"/>
    <w:p w14:paraId="15B2CE35" w14:textId="0C562C7E" w:rsidR="00285F39" w:rsidRPr="00395023" w:rsidRDefault="00F60B7D" w:rsidP="006633BA">
      <w:pPr>
        <w:outlineLvl w:val="0"/>
        <w:rPr>
          <w:b/>
          <w:sz w:val="28"/>
          <w:szCs w:val="28"/>
        </w:rPr>
      </w:pPr>
      <w:r w:rsidRPr="00395023">
        <w:rPr>
          <w:rFonts w:hint="eastAsia"/>
          <w:b/>
          <w:sz w:val="28"/>
          <w:szCs w:val="28"/>
        </w:rPr>
        <w:t>六、与国际、国外对比情况</w:t>
      </w:r>
    </w:p>
    <w:p w14:paraId="3751659C" w14:textId="79265C23" w:rsidR="005D2CA5" w:rsidRPr="00395023" w:rsidRDefault="005D2CA5" w:rsidP="00A1417C">
      <w:r w:rsidRPr="00395023">
        <w:rPr>
          <w:rFonts w:hint="eastAsia"/>
        </w:rPr>
        <w:lastRenderedPageBreak/>
        <w:t>（</w:t>
      </w:r>
      <w:r w:rsidRPr="00395023">
        <w:t>1</w:t>
      </w:r>
      <w:r w:rsidRPr="00395023">
        <w:rPr>
          <w:rFonts w:hint="eastAsia"/>
        </w:rPr>
        <w:t>）</w:t>
      </w:r>
      <w:r w:rsidRPr="00395023">
        <w:t>与国际标准或国外先进标准的采用程度</w:t>
      </w:r>
    </w:p>
    <w:p w14:paraId="48B3EC09" w14:textId="10EAEAEC" w:rsidR="005D2CA5" w:rsidRPr="00395023" w:rsidRDefault="005D2CA5" w:rsidP="005D2CA5">
      <w:pPr>
        <w:ind w:firstLineChars="200" w:firstLine="480"/>
      </w:pPr>
      <w:r w:rsidRPr="00395023">
        <w:t>技术对标：参考国际标准ISO 17599:2015</w:t>
      </w:r>
      <w:r w:rsidR="00DE6135" w:rsidRPr="00395023">
        <w:rPr>
          <w:rFonts w:hint="eastAsia"/>
        </w:rPr>
        <w:t>《</w:t>
      </w:r>
      <w:r w:rsidR="00DE6135" w:rsidRPr="00395023">
        <w:t>Technical product documentation (TPD) — General requirements of digital mock-up for mechanical products</w:t>
      </w:r>
      <w:r w:rsidR="00DE6135" w:rsidRPr="00395023">
        <w:rPr>
          <w:rFonts w:hint="eastAsia"/>
        </w:rPr>
        <w:t>》</w:t>
      </w:r>
      <w:r w:rsidRPr="00395023">
        <w:t>和ISO 21143:2020</w:t>
      </w:r>
      <w:r w:rsidR="00DE6135" w:rsidRPr="00395023">
        <w:rPr>
          <w:rFonts w:hint="eastAsia"/>
        </w:rPr>
        <w:t>《</w:t>
      </w:r>
      <w:r w:rsidR="00DE6135" w:rsidRPr="00395023">
        <w:t>Technical product documentation — Requirements for digital mock-up virtual assembly test for mechanical products</w:t>
      </w:r>
      <w:r w:rsidR="00DE6135" w:rsidRPr="00395023">
        <w:rPr>
          <w:rFonts w:hint="eastAsia"/>
        </w:rPr>
        <w:t>》</w:t>
      </w:r>
      <w:r w:rsidRPr="00395023">
        <w:t>，但针对核反应堆特殊性强化安全性与多物理耦合要求（如第8.5条“安全与可靠性测试”）。</w:t>
      </w:r>
    </w:p>
    <w:p w14:paraId="3972F15B" w14:textId="20DF987A" w:rsidR="005D2CA5" w:rsidRPr="00395023" w:rsidRDefault="005D2CA5" w:rsidP="005D2CA5">
      <w:pPr>
        <w:ind w:firstLineChars="200" w:firstLine="480"/>
      </w:pPr>
      <w:r w:rsidRPr="00395023">
        <w:t>创新性补充：增加核能专用条款，如中子物理模拟精度（第8.4.1条）、辐照材料退化分析（第6.1.3条），填补国际标准在核能领域的空白。</w:t>
      </w:r>
    </w:p>
    <w:p w14:paraId="09A212F8" w14:textId="63A84ED2" w:rsidR="005D2CA5" w:rsidRPr="00395023" w:rsidRDefault="005D2CA5" w:rsidP="00A1417C">
      <w:r w:rsidRPr="00395023">
        <w:rPr>
          <w:rFonts w:hint="eastAsia"/>
        </w:rPr>
        <w:t>（</w:t>
      </w:r>
      <w:r w:rsidRPr="00395023">
        <w:t>2</w:t>
      </w:r>
      <w:r w:rsidRPr="00395023">
        <w:rPr>
          <w:rFonts w:hint="eastAsia"/>
        </w:rPr>
        <w:t>）</w:t>
      </w:r>
      <w:r w:rsidRPr="00395023">
        <w:t>与国内相关标准的关系</w:t>
      </w:r>
      <w:r w:rsidRPr="00395023">
        <w:rPr>
          <w:rFonts w:hint="eastAsia"/>
        </w:rPr>
        <w:t>：</w:t>
      </w:r>
    </w:p>
    <w:p w14:paraId="29BE5E94" w14:textId="2BF7CBEA" w:rsidR="005D2CA5" w:rsidRPr="00395023" w:rsidRDefault="005D2CA5" w:rsidP="005D2CA5">
      <w:pPr>
        <w:ind w:firstLineChars="200" w:firstLine="480"/>
      </w:pPr>
      <w:r w:rsidRPr="00395023">
        <w:t>协调性：遵循GB/T 1.1-2020编写规则，与GB/T 26100-2010（机械数字样机）兼容，但细化核反应堆应用场景，形成专业领域补充标准。</w:t>
      </w:r>
    </w:p>
    <w:p w14:paraId="073F2D3C" w14:textId="4AE4B41E" w:rsidR="005D2CA5" w:rsidRPr="00395023" w:rsidRDefault="005D2CA5" w:rsidP="005D2CA5">
      <w:pPr>
        <w:ind w:firstLineChars="200" w:firstLine="480"/>
      </w:pPr>
      <w:r w:rsidRPr="00395023">
        <w:t>独立性：现行国内标准未覆盖核能数字样机全生命周期管理，本标准首次系统规定设计、测试、维护全流程（第4-9章），与《核电厂安全分析报告编制规定》（HAF 003）等技术法规形成互补。</w:t>
      </w:r>
    </w:p>
    <w:p w14:paraId="1DB705A1" w14:textId="12AC2637" w:rsidR="005D2CA5" w:rsidRPr="00395023" w:rsidRDefault="00A1417C" w:rsidP="00A1417C">
      <w:r>
        <w:rPr>
          <w:rFonts w:hint="eastAsia"/>
        </w:rPr>
        <w:t>（</w:t>
      </w:r>
      <w:r w:rsidR="005D2CA5" w:rsidRPr="00395023">
        <w:t>3</w:t>
      </w:r>
      <w:r>
        <w:rPr>
          <w:rFonts w:hint="eastAsia"/>
        </w:rPr>
        <w:t>）</w:t>
      </w:r>
      <w:r w:rsidR="005D2CA5" w:rsidRPr="00395023">
        <w:t>发展趋势</w:t>
      </w:r>
    </w:p>
    <w:p w14:paraId="6F8BA61A" w14:textId="2B3DE22D" w:rsidR="00F60B7D" w:rsidRPr="00395023" w:rsidRDefault="005D2CA5" w:rsidP="003E14B0">
      <w:pPr>
        <w:ind w:firstLineChars="200" w:firstLine="480"/>
      </w:pPr>
      <w:r w:rsidRPr="00395023">
        <w:t>技术融合：未来将深度融合人工智能（如第7.2.2条“数据可视化”）、数字孪生（第9.2条“技术状态规范”）等技术，推动核反应堆智能化运维。</w:t>
      </w:r>
    </w:p>
    <w:p w14:paraId="001A9784" w14:textId="77777777" w:rsidR="003E14B0" w:rsidRPr="00395023" w:rsidRDefault="003E14B0" w:rsidP="003E14B0">
      <w:pPr>
        <w:ind w:firstLineChars="200" w:firstLine="480"/>
      </w:pPr>
    </w:p>
    <w:p w14:paraId="7A633A15" w14:textId="17335B27" w:rsidR="00F60B7D" w:rsidRPr="00395023" w:rsidRDefault="00F60B7D" w:rsidP="006633BA">
      <w:pPr>
        <w:outlineLvl w:val="0"/>
        <w:rPr>
          <w:b/>
          <w:sz w:val="28"/>
          <w:szCs w:val="28"/>
        </w:rPr>
      </w:pPr>
      <w:r w:rsidRPr="00395023">
        <w:rPr>
          <w:rFonts w:hint="eastAsia"/>
          <w:b/>
          <w:sz w:val="28"/>
          <w:szCs w:val="28"/>
        </w:rPr>
        <w:t>七、在标准体系中的位置，与现行相关法律、法规、规章及标准，特别是强制性标准的协调性</w:t>
      </w:r>
    </w:p>
    <w:p w14:paraId="440A5748" w14:textId="3010C6BF" w:rsidR="003E14B0" w:rsidRPr="00395023" w:rsidRDefault="001058DB" w:rsidP="00A1417C">
      <w:r w:rsidRPr="00395023">
        <w:rPr>
          <w:rFonts w:hint="eastAsia"/>
        </w:rPr>
        <w:t>（</w:t>
      </w:r>
      <w:r w:rsidR="003E14B0" w:rsidRPr="00395023">
        <w:t>1</w:t>
      </w:r>
      <w:r w:rsidRPr="00395023">
        <w:rPr>
          <w:rFonts w:hint="eastAsia"/>
        </w:rPr>
        <w:t>）</w:t>
      </w:r>
      <w:r w:rsidR="003E14B0" w:rsidRPr="00395023">
        <w:t>在标准体系中的定位</w:t>
      </w:r>
    </w:p>
    <w:p w14:paraId="5BC34404" w14:textId="2C4E3170" w:rsidR="003E14B0" w:rsidRPr="00395023" w:rsidRDefault="003E14B0" w:rsidP="001058DB">
      <w:pPr>
        <w:ind w:firstLineChars="200" w:firstLine="480"/>
      </w:pPr>
      <w:r w:rsidRPr="00395023">
        <w:t>层级关系：本标准属核能行业团体标准，位于国家标准GB系列与行业标准核安全法规HAF系列之间，聚焦核反应堆数字样机细分领域。</w:t>
      </w:r>
    </w:p>
    <w:p w14:paraId="6D1525A4" w14:textId="515CB20B" w:rsidR="003E14B0" w:rsidRPr="00395023" w:rsidRDefault="003E14B0" w:rsidP="001058DB">
      <w:pPr>
        <w:ind w:firstLineChars="200" w:firstLine="480"/>
      </w:pPr>
      <w:r w:rsidRPr="00395023">
        <w:t>体系补充：作为核能数字化转型的核心标准，填补现有标准在虚拟仿真、多物理耦合等方向的空白，完善核能标准体系架构。</w:t>
      </w:r>
    </w:p>
    <w:p w14:paraId="5F51FCC3" w14:textId="379D779C" w:rsidR="003E14B0" w:rsidRPr="00395023" w:rsidRDefault="001058DB" w:rsidP="00A1417C">
      <w:r w:rsidRPr="00395023">
        <w:rPr>
          <w:rFonts w:hint="eastAsia"/>
        </w:rPr>
        <w:t>（</w:t>
      </w:r>
      <w:r w:rsidR="003E14B0" w:rsidRPr="00395023">
        <w:t>2</w:t>
      </w:r>
      <w:r w:rsidRPr="00395023">
        <w:rPr>
          <w:rFonts w:hint="eastAsia"/>
        </w:rPr>
        <w:t>）</w:t>
      </w:r>
      <w:r w:rsidR="003E14B0" w:rsidRPr="00395023">
        <w:t>与现行法规及标准的协调性</w:t>
      </w:r>
    </w:p>
    <w:p w14:paraId="675AAC2A" w14:textId="0D09ACC4" w:rsidR="003E14B0" w:rsidRPr="00395023" w:rsidRDefault="003E14B0" w:rsidP="001058DB">
      <w:pPr>
        <w:ind w:firstLineChars="200" w:firstLine="480"/>
      </w:pPr>
      <w:r w:rsidRPr="00395023">
        <w:lastRenderedPageBreak/>
        <w:t>法律层面：符合《中华人民共和国核安全法》《放射性污染防治法》对核设施安全设计与运行的要求，通过数字样机事故模拟（第8.5.1条）强化合规性。</w:t>
      </w:r>
    </w:p>
    <w:p w14:paraId="69FCA97F" w14:textId="34E9D178" w:rsidR="003E14B0" w:rsidRPr="00395023" w:rsidRDefault="003E14B0" w:rsidP="001058DB">
      <w:pPr>
        <w:ind w:firstLineChars="200" w:firstLine="480"/>
      </w:pPr>
      <w:r w:rsidRPr="00395023">
        <w:t>标准协调：与GB/T 13629-</w:t>
      </w:r>
      <w:r w:rsidR="006A72CE" w:rsidRPr="00395023">
        <w:t>2023</w:t>
      </w:r>
      <w:r w:rsidR="006A72CE" w:rsidRPr="00395023">
        <w:rPr>
          <w:rFonts w:hint="eastAsia"/>
        </w:rPr>
        <w:t>《</w:t>
      </w:r>
      <w:r w:rsidRPr="00395023">
        <w:t>核电厂安全系统数字计算机准则</w:t>
      </w:r>
      <w:r w:rsidR="00363750" w:rsidRPr="00395023">
        <w:rPr>
          <w:rFonts w:hint="eastAsia"/>
        </w:rPr>
        <w:t>》</w:t>
      </w:r>
      <w:r w:rsidRPr="00395023">
        <w:t>协同，确保数字样机安全分析可靠性；与HAF 102</w:t>
      </w:r>
      <w:r w:rsidR="007769CD" w:rsidRPr="00395023">
        <w:rPr>
          <w:rFonts w:hint="eastAsia"/>
        </w:rPr>
        <w:t>《</w:t>
      </w:r>
      <w:r w:rsidRPr="00395023">
        <w:t>核电厂设计安全规定</w:t>
      </w:r>
      <w:r w:rsidR="00363750" w:rsidRPr="00395023">
        <w:rPr>
          <w:rFonts w:hint="eastAsia"/>
        </w:rPr>
        <w:t>》</w:t>
      </w:r>
      <w:r w:rsidRPr="00395023">
        <w:t>衔接，规范数字样机在安全评审中的应用。</w:t>
      </w:r>
    </w:p>
    <w:p w14:paraId="1CFF4B2D" w14:textId="16505ADF" w:rsidR="003E14B0" w:rsidRPr="00395023" w:rsidRDefault="003E14B0" w:rsidP="001058DB">
      <w:pPr>
        <w:ind w:firstLineChars="200" w:firstLine="480"/>
      </w:pPr>
      <w:r w:rsidRPr="00395023">
        <w:t>无冲突性：本标准不涉及强制性标准内容，技术条款与现行核能法规、国标、行标无交叉重复或矛盾。</w:t>
      </w:r>
    </w:p>
    <w:p w14:paraId="1CEC47DA" w14:textId="77777777" w:rsidR="003E14B0" w:rsidRPr="00395023" w:rsidRDefault="003E14B0" w:rsidP="003E14B0">
      <w:pPr>
        <w:pStyle w:val="a8"/>
        <w:spacing w:before="0" w:beforeAutospacing="0"/>
        <w:ind w:left="720"/>
        <w:rPr>
          <w:rFonts w:ascii="Segoe UI" w:hAnsi="Segoe UI" w:cs="Segoe UI"/>
        </w:rPr>
      </w:pPr>
    </w:p>
    <w:p w14:paraId="14BF4C02" w14:textId="3CD05C75" w:rsidR="00F60B7D" w:rsidRPr="00395023" w:rsidRDefault="00F60B7D" w:rsidP="006633BA">
      <w:pPr>
        <w:outlineLvl w:val="0"/>
        <w:rPr>
          <w:b/>
          <w:sz w:val="28"/>
          <w:szCs w:val="28"/>
        </w:rPr>
      </w:pPr>
      <w:r w:rsidRPr="00395023">
        <w:rPr>
          <w:rFonts w:hint="eastAsia"/>
          <w:b/>
          <w:sz w:val="28"/>
          <w:szCs w:val="28"/>
        </w:rPr>
        <w:t>八、重大分歧意见的处理经过和依据</w:t>
      </w:r>
    </w:p>
    <w:p w14:paraId="7BAFBD65" w14:textId="2C0489E1" w:rsidR="00A56356" w:rsidRPr="00395023" w:rsidRDefault="00A56356" w:rsidP="00B334A2">
      <w:pPr>
        <w:ind w:firstLineChars="200" w:firstLine="480"/>
      </w:pPr>
      <w:r w:rsidRPr="00395023">
        <w:rPr>
          <w:rFonts w:hint="eastAsia"/>
        </w:rPr>
        <w:t>无</w:t>
      </w:r>
    </w:p>
    <w:p w14:paraId="3629B36E" w14:textId="77777777" w:rsidR="00A740E0" w:rsidRPr="00395023" w:rsidRDefault="00A740E0" w:rsidP="00F60B7D"/>
    <w:p w14:paraId="363B527E" w14:textId="74B0095E" w:rsidR="00F60B7D" w:rsidRPr="00395023" w:rsidRDefault="00F60B7D" w:rsidP="006633BA">
      <w:pPr>
        <w:outlineLvl w:val="0"/>
        <w:rPr>
          <w:b/>
          <w:sz w:val="28"/>
          <w:szCs w:val="28"/>
        </w:rPr>
      </w:pPr>
      <w:r w:rsidRPr="00395023">
        <w:rPr>
          <w:rFonts w:hint="eastAsia"/>
          <w:b/>
          <w:sz w:val="28"/>
          <w:szCs w:val="28"/>
        </w:rPr>
        <w:t>九、标准性质的建议说明</w:t>
      </w:r>
    </w:p>
    <w:p w14:paraId="20644660" w14:textId="1DD00B7D" w:rsidR="00F60B7D" w:rsidRPr="00395023" w:rsidRDefault="00E0783F" w:rsidP="00F47F0C">
      <w:pPr>
        <w:ind w:firstLineChars="200" w:firstLine="480"/>
      </w:pPr>
      <w:r w:rsidRPr="00395023">
        <w:rPr>
          <w:rFonts w:hint="eastAsia"/>
        </w:rPr>
        <w:t>建议本标准的性质为团体标准。</w:t>
      </w:r>
    </w:p>
    <w:p w14:paraId="5155893C" w14:textId="77777777" w:rsidR="00A56356" w:rsidRPr="00395023" w:rsidRDefault="00A56356" w:rsidP="00F60B7D">
      <w:pPr>
        <w:rPr>
          <w:i/>
        </w:rPr>
      </w:pPr>
    </w:p>
    <w:p w14:paraId="2936C706" w14:textId="0C811B80" w:rsidR="00F60B7D" w:rsidRPr="00395023" w:rsidRDefault="00F60B7D" w:rsidP="006633BA">
      <w:pPr>
        <w:outlineLvl w:val="0"/>
        <w:rPr>
          <w:b/>
          <w:sz w:val="28"/>
          <w:szCs w:val="28"/>
        </w:rPr>
      </w:pPr>
      <w:r w:rsidRPr="00395023">
        <w:rPr>
          <w:rFonts w:hint="eastAsia"/>
          <w:b/>
          <w:sz w:val="28"/>
          <w:szCs w:val="28"/>
        </w:rPr>
        <w:t>十、贯彻标准的要求和措施建议</w:t>
      </w:r>
    </w:p>
    <w:p w14:paraId="5008B339" w14:textId="4548D627" w:rsidR="00F60B7D" w:rsidRPr="00395023" w:rsidRDefault="00DC6C2C" w:rsidP="00DC6C2C">
      <w:pPr>
        <w:ind w:firstLineChars="200" w:firstLine="480"/>
      </w:pPr>
      <w:r w:rsidRPr="00395023">
        <w:rPr>
          <w:rFonts w:hint="eastAsia"/>
        </w:rPr>
        <w:t>《核反应堆数字样机通用规范》</w:t>
      </w:r>
      <w:r w:rsidR="00F60B7D" w:rsidRPr="00395023">
        <w:rPr>
          <w:rFonts w:hint="eastAsia"/>
        </w:rPr>
        <w:t>标准发布后，</w:t>
      </w:r>
      <w:r w:rsidRPr="00395023">
        <w:rPr>
          <w:rFonts w:hint="eastAsia"/>
        </w:rPr>
        <w:t>上海交通大学</w:t>
      </w:r>
      <w:r w:rsidR="00F60B7D" w:rsidRPr="00395023">
        <w:rPr>
          <w:rFonts w:hint="eastAsia"/>
        </w:rPr>
        <w:t>单位将配合中国核能行业协会组织行业召开标准宣贯会，开展培训活动，促进该标准更好的贯彻实施。</w:t>
      </w:r>
    </w:p>
    <w:p w14:paraId="291CFB43" w14:textId="77777777" w:rsidR="00A740E0" w:rsidRPr="00395023" w:rsidRDefault="00A740E0" w:rsidP="00F60B7D">
      <w:pPr>
        <w:rPr>
          <w:i/>
        </w:rPr>
      </w:pPr>
    </w:p>
    <w:p w14:paraId="70167BE1" w14:textId="5A2A6C9B" w:rsidR="00F60B7D" w:rsidRPr="00395023" w:rsidRDefault="00F60B7D" w:rsidP="006633BA">
      <w:pPr>
        <w:outlineLvl w:val="0"/>
        <w:rPr>
          <w:b/>
          <w:sz w:val="28"/>
          <w:szCs w:val="28"/>
        </w:rPr>
      </w:pPr>
      <w:r w:rsidRPr="00395023">
        <w:rPr>
          <w:rFonts w:hint="eastAsia"/>
          <w:b/>
          <w:sz w:val="28"/>
          <w:szCs w:val="28"/>
        </w:rPr>
        <w:t>十一、废止现行相关标准的建议</w:t>
      </w:r>
    </w:p>
    <w:p w14:paraId="28956847" w14:textId="73E77491" w:rsidR="00F60B7D" w:rsidRPr="00395023" w:rsidRDefault="00F64684" w:rsidP="00F64684">
      <w:pPr>
        <w:ind w:firstLineChars="200" w:firstLine="480"/>
      </w:pPr>
      <w:r w:rsidRPr="00395023">
        <w:rPr>
          <w:rFonts w:hint="eastAsia"/>
        </w:rPr>
        <w:t>无</w:t>
      </w:r>
    </w:p>
    <w:p w14:paraId="116FD690" w14:textId="77777777" w:rsidR="00F64684" w:rsidRPr="00395023" w:rsidRDefault="00F64684" w:rsidP="00F64684">
      <w:pPr>
        <w:ind w:firstLineChars="200" w:firstLine="480"/>
      </w:pPr>
    </w:p>
    <w:p w14:paraId="2E27B981" w14:textId="3A82D869" w:rsidR="00F60B7D" w:rsidRPr="00395023" w:rsidRDefault="00F60B7D" w:rsidP="006633BA">
      <w:pPr>
        <w:outlineLvl w:val="0"/>
        <w:rPr>
          <w:b/>
          <w:sz w:val="28"/>
          <w:szCs w:val="28"/>
        </w:rPr>
      </w:pPr>
      <w:r w:rsidRPr="00395023">
        <w:rPr>
          <w:rFonts w:hint="eastAsia"/>
          <w:b/>
          <w:sz w:val="28"/>
          <w:szCs w:val="28"/>
        </w:rPr>
        <w:t>十二、其他应予说明的事项</w:t>
      </w:r>
    </w:p>
    <w:p w14:paraId="19D0A21A" w14:textId="77777777" w:rsidR="00F64684" w:rsidRPr="00395023" w:rsidRDefault="00F64684" w:rsidP="00F64684">
      <w:pPr>
        <w:ind w:firstLineChars="200" w:firstLine="480"/>
      </w:pPr>
      <w:r w:rsidRPr="00395023">
        <w:rPr>
          <w:rFonts w:hint="eastAsia"/>
        </w:rPr>
        <w:t>无</w:t>
      </w:r>
    </w:p>
    <w:p w14:paraId="48B50C69" w14:textId="68AF018F" w:rsidR="00F60B7D" w:rsidRPr="00395023" w:rsidRDefault="00F60B7D" w:rsidP="00F60B7D">
      <w:pPr>
        <w:rPr>
          <w:i/>
        </w:rPr>
      </w:pPr>
    </w:p>
    <w:sectPr w:rsidR="00F60B7D" w:rsidRPr="0039502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E046FF" w14:textId="77777777" w:rsidR="0002167B" w:rsidRDefault="0002167B" w:rsidP="005F7689">
      <w:pPr>
        <w:spacing w:line="240" w:lineRule="auto"/>
      </w:pPr>
      <w:r>
        <w:separator/>
      </w:r>
    </w:p>
  </w:endnote>
  <w:endnote w:type="continuationSeparator" w:id="0">
    <w:p w14:paraId="4F43AF4F" w14:textId="77777777" w:rsidR="0002167B" w:rsidRDefault="0002167B" w:rsidP="005F768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4C2BD6" w14:textId="77777777" w:rsidR="0002167B" w:rsidRDefault="0002167B" w:rsidP="005F7689">
      <w:pPr>
        <w:spacing w:line="240" w:lineRule="auto"/>
      </w:pPr>
      <w:r>
        <w:separator/>
      </w:r>
    </w:p>
  </w:footnote>
  <w:footnote w:type="continuationSeparator" w:id="0">
    <w:p w14:paraId="1A6A8D3C" w14:textId="77777777" w:rsidR="0002167B" w:rsidRDefault="0002167B" w:rsidP="005F7689">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312ED9"/>
    <w:multiLevelType w:val="multilevel"/>
    <w:tmpl w:val="DC3C6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AA6761"/>
    <w:multiLevelType w:val="multilevel"/>
    <w:tmpl w:val="6396ED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C6E064B"/>
    <w:multiLevelType w:val="multilevel"/>
    <w:tmpl w:val="427293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2CB2123"/>
    <w:multiLevelType w:val="multilevel"/>
    <w:tmpl w:val="E5A6BB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6234F7F"/>
    <w:multiLevelType w:val="multilevel"/>
    <w:tmpl w:val="EA344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6EF644F"/>
    <w:multiLevelType w:val="multilevel"/>
    <w:tmpl w:val="CB18C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8167E09"/>
    <w:multiLevelType w:val="multilevel"/>
    <w:tmpl w:val="E49612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B256761"/>
    <w:multiLevelType w:val="multilevel"/>
    <w:tmpl w:val="94145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6423DDB"/>
    <w:multiLevelType w:val="multilevel"/>
    <w:tmpl w:val="54A807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C387B31"/>
    <w:multiLevelType w:val="multilevel"/>
    <w:tmpl w:val="C2CC9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F044234"/>
    <w:multiLevelType w:val="multilevel"/>
    <w:tmpl w:val="FD52D2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210309A"/>
    <w:multiLevelType w:val="multilevel"/>
    <w:tmpl w:val="600C18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4E3686E"/>
    <w:multiLevelType w:val="multilevel"/>
    <w:tmpl w:val="332A2E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8977D43"/>
    <w:multiLevelType w:val="multilevel"/>
    <w:tmpl w:val="AE384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C773243"/>
    <w:multiLevelType w:val="multilevel"/>
    <w:tmpl w:val="F18E92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01C7753"/>
    <w:multiLevelType w:val="multilevel"/>
    <w:tmpl w:val="E0F845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0406BC7"/>
    <w:multiLevelType w:val="multilevel"/>
    <w:tmpl w:val="DCE26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1A863C1"/>
    <w:multiLevelType w:val="multilevel"/>
    <w:tmpl w:val="81260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85F0997"/>
    <w:multiLevelType w:val="multilevel"/>
    <w:tmpl w:val="10607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FA221D3"/>
    <w:multiLevelType w:val="multilevel"/>
    <w:tmpl w:val="B4F6C4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3284415"/>
    <w:multiLevelType w:val="multilevel"/>
    <w:tmpl w:val="34782A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7F4147E"/>
    <w:multiLevelType w:val="hybridMultilevel"/>
    <w:tmpl w:val="BCCEA590"/>
    <w:lvl w:ilvl="0" w:tplc="C706E8E8">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num w:numId="1">
    <w:abstractNumId w:val="12"/>
  </w:num>
  <w:num w:numId="2">
    <w:abstractNumId w:val="7"/>
  </w:num>
  <w:num w:numId="3">
    <w:abstractNumId w:val="15"/>
  </w:num>
  <w:num w:numId="4">
    <w:abstractNumId w:val="17"/>
  </w:num>
  <w:num w:numId="5">
    <w:abstractNumId w:val="11"/>
  </w:num>
  <w:num w:numId="6">
    <w:abstractNumId w:val="14"/>
  </w:num>
  <w:num w:numId="7">
    <w:abstractNumId w:val="6"/>
  </w:num>
  <w:num w:numId="8">
    <w:abstractNumId w:val="4"/>
  </w:num>
  <w:num w:numId="9">
    <w:abstractNumId w:val="2"/>
  </w:num>
  <w:num w:numId="10">
    <w:abstractNumId w:val="1"/>
  </w:num>
  <w:num w:numId="11">
    <w:abstractNumId w:val="10"/>
  </w:num>
  <w:num w:numId="12">
    <w:abstractNumId w:val="20"/>
  </w:num>
  <w:num w:numId="13">
    <w:abstractNumId w:val="18"/>
  </w:num>
  <w:num w:numId="14">
    <w:abstractNumId w:val="3"/>
  </w:num>
  <w:num w:numId="15">
    <w:abstractNumId w:val="16"/>
  </w:num>
  <w:num w:numId="16">
    <w:abstractNumId w:val="9"/>
  </w:num>
  <w:num w:numId="17">
    <w:abstractNumId w:val="0"/>
  </w:num>
  <w:num w:numId="18">
    <w:abstractNumId w:val="5"/>
  </w:num>
  <w:num w:numId="19">
    <w:abstractNumId w:val="19"/>
  </w:num>
  <w:num w:numId="20">
    <w:abstractNumId w:val="13"/>
  </w:num>
  <w:num w:numId="21">
    <w:abstractNumId w:val="8"/>
  </w:num>
  <w:num w:numId="2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1F35"/>
    <w:rsid w:val="00020385"/>
    <w:rsid w:val="0002167B"/>
    <w:rsid w:val="00033375"/>
    <w:rsid w:val="000432E2"/>
    <w:rsid w:val="0004736B"/>
    <w:rsid w:val="000C204E"/>
    <w:rsid w:val="000C610F"/>
    <w:rsid w:val="00103CC7"/>
    <w:rsid w:val="001058DB"/>
    <w:rsid w:val="00124F06"/>
    <w:rsid w:val="00132C00"/>
    <w:rsid w:val="00161CD2"/>
    <w:rsid w:val="00183FE7"/>
    <w:rsid w:val="001D2475"/>
    <w:rsid w:val="001F2E97"/>
    <w:rsid w:val="001F6B09"/>
    <w:rsid w:val="00237EE9"/>
    <w:rsid w:val="0024244C"/>
    <w:rsid w:val="00285F39"/>
    <w:rsid w:val="00296C31"/>
    <w:rsid w:val="002B3962"/>
    <w:rsid w:val="002B7311"/>
    <w:rsid w:val="002E1F35"/>
    <w:rsid w:val="002F4FB0"/>
    <w:rsid w:val="00313016"/>
    <w:rsid w:val="00327CC6"/>
    <w:rsid w:val="00333904"/>
    <w:rsid w:val="00363750"/>
    <w:rsid w:val="00363B54"/>
    <w:rsid w:val="00386654"/>
    <w:rsid w:val="00395023"/>
    <w:rsid w:val="0039619E"/>
    <w:rsid w:val="003B7FA4"/>
    <w:rsid w:val="003C2F3F"/>
    <w:rsid w:val="003E14B0"/>
    <w:rsid w:val="00463435"/>
    <w:rsid w:val="004656F6"/>
    <w:rsid w:val="0050490F"/>
    <w:rsid w:val="005115CB"/>
    <w:rsid w:val="005151E2"/>
    <w:rsid w:val="005176AC"/>
    <w:rsid w:val="00520FE0"/>
    <w:rsid w:val="00522BC4"/>
    <w:rsid w:val="005A1C0A"/>
    <w:rsid w:val="005A25BE"/>
    <w:rsid w:val="005A5D58"/>
    <w:rsid w:val="005D2CA5"/>
    <w:rsid w:val="005E1441"/>
    <w:rsid w:val="005F7689"/>
    <w:rsid w:val="006633BA"/>
    <w:rsid w:val="006852C8"/>
    <w:rsid w:val="006A5AD3"/>
    <w:rsid w:val="006A6B56"/>
    <w:rsid w:val="006A72CE"/>
    <w:rsid w:val="006E0F94"/>
    <w:rsid w:val="006F1215"/>
    <w:rsid w:val="0070047E"/>
    <w:rsid w:val="007260D6"/>
    <w:rsid w:val="00737B6B"/>
    <w:rsid w:val="00764E9E"/>
    <w:rsid w:val="007769CD"/>
    <w:rsid w:val="00786452"/>
    <w:rsid w:val="007D0892"/>
    <w:rsid w:val="007D349B"/>
    <w:rsid w:val="007E4BF8"/>
    <w:rsid w:val="00812745"/>
    <w:rsid w:val="008439F4"/>
    <w:rsid w:val="00873E9D"/>
    <w:rsid w:val="008870D3"/>
    <w:rsid w:val="008A378A"/>
    <w:rsid w:val="008C45F3"/>
    <w:rsid w:val="008E5556"/>
    <w:rsid w:val="008F0708"/>
    <w:rsid w:val="008F2532"/>
    <w:rsid w:val="008F4FB9"/>
    <w:rsid w:val="00927849"/>
    <w:rsid w:val="00973E36"/>
    <w:rsid w:val="009B30A4"/>
    <w:rsid w:val="009B4282"/>
    <w:rsid w:val="00A1417C"/>
    <w:rsid w:val="00A33BF8"/>
    <w:rsid w:val="00A56356"/>
    <w:rsid w:val="00A740E0"/>
    <w:rsid w:val="00A92DF3"/>
    <w:rsid w:val="00A97836"/>
    <w:rsid w:val="00AB5F92"/>
    <w:rsid w:val="00AC1E52"/>
    <w:rsid w:val="00AE1F12"/>
    <w:rsid w:val="00AE7A2E"/>
    <w:rsid w:val="00B17410"/>
    <w:rsid w:val="00B24A56"/>
    <w:rsid w:val="00B334A2"/>
    <w:rsid w:val="00B51DBB"/>
    <w:rsid w:val="00B720D7"/>
    <w:rsid w:val="00BA5E43"/>
    <w:rsid w:val="00BB3169"/>
    <w:rsid w:val="00C123A8"/>
    <w:rsid w:val="00C478E3"/>
    <w:rsid w:val="00C80010"/>
    <w:rsid w:val="00CB603C"/>
    <w:rsid w:val="00CB74C7"/>
    <w:rsid w:val="00CE478B"/>
    <w:rsid w:val="00CF4979"/>
    <w:rsid w:val="00D05724"/>
    <w:rsid w:val="00D0619E"/>
    <w:rsid w:val="00D324AB"/>
    <w:rsid w:val="00D56BE5"/>
    <w:rsid w:val="00D70654"/>
    <w:rsid w:val="00D84EFA"/>
    <w:rsid w:val="00D90024"/>
    <w:rsid w:val="00DB3AF6"/>
    <w:rsid w:val="00DC29B1"/>
    <w:rsid w:val="00DC3661"/>
    <w:rsid w:val="00DC6C2C"/>
    <w:rsid w:val="00DE6135"/>
    <w:rsid w:val="00E0783F"/>
    <w:rsid w:val="00E55BDC"/>
    <w:rsid w:val="00E80FE9"/>
    <w:rsid w:val="00E96B97"/>
    <w:rsid w:val="00EA3B20"/>
    <w:rsid w:val="00EA6E6B"/>
    <w:rsid w:val="00F06036"/>
    <w:rsid w:val="00F212A5"/>
    <w:rsid w:val="00F32115"/>
    <w:rsid w:val="00F47F0C"/>
    <w:rsid w:val="00F60B7D"/>
    <w:rsid w:val="00F64684"/>
    <w:rsid w:val="00FB63FA"/>
    <w:rsid w:val="00FB6407"/>
    <w:rsid w:val="00FD3AD9"/>
    <w:rsid w:val="00FD635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19B740B"/>
  <w15:chartTrackingRefBased/>
  <w15:docId w15:val="{B5CF94CA-8441-4F2B-A0B4-DC510E3159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宋体" w:eastAsia="宋体" w:hAnsi="宋体" w:cstheme="minorBidi"/>
        <w:kern w:val="2"/>
        <w:sz w:val="24"/>
        <w:szCs w:val="24"/>
        <w:lang w:val="en-US" w:eastAsia="zh-CN" w:bidi="ar-SA"/>
      </w:rPr>
    </w:rPrDefault>
    <w:pPrDefault>
      <w:pPr>
        <w:spacing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103CC7"/>
    <w:pPr>
      <w:keepNext/>
      <w:keepLines/>
      <w:spacing w:before="340" w:after="330" w:line="578" w:lineRule="auto"/>
      <w:outlineLvl w:val="0"/>
    </w:pPr>
    <w:rPr>
      <w:b/>
      <w:bCs/>
      <w:kern w:val="44"/>
      <w:sz w:val="44"/>
      <w:szCs w:val="44"/>
    </w:rPr>
  </w:style>
  <w:style w:type="paragraph" w:styleId="4">
    <w:name w:val="heading 4"/>
    <w:basedOn w:val="a"/>
    <w:link w:val="40"/>
    <w:uiPriority w:val="9"/>
    <w:qFormat/>
    <w:rsid w:val="008F4FB9"/>
    <w:pPr>
      <w:spacing w:before="100" w:beforeAutospacing="1" w:after="100" w:afterAutospacing="1" w:line="240" w:lineRule="auto"/>
      <w:outlineLvl w:val="3"/>
    </w:pPr>
    <w:rPr>
      <w:rFonts w:cs="宋体"/>
      <w:b/>
      <w:bCs/>
      <w:kern w:val="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B6407"/>
    <w:pPr>
      <w:ind w:firstLineChars="200" w:firstLine="420"/>
    </w:pPr>
  </w:style>
  <w:style w:type="paragraph" w:styleId="a4">
    <w:name w:val="header"/>
    <w:basedOn w:val="a"/>
    <w:link w:val="a5"/>
    <w:uiPriority w:val="99"/>
    <w:unhideWhenUsed/>
    <w:rsid w:val="005F7689"/>
    <w:pPr>
      <w:pBdr>
        <w:bottom w:val="single" w:sz="6" w:space="1" w:color="auto"/>
      </w:pBdr>
      <w:tabs>
        <w:tab w:val="center" w:pos="4153"/>
        <w:tab w:val="right" w:pos="8306"/>
      </w:tabs>
      <w:snapToGrid w:val="0"/>
      <w:spacing w:line="240" w:lineRule="auto"/>
      <w:jc w:val="center"/>
    </w:pPr>
    <w:rPr>
      <w:sz w:val="18"/>
      <w:szCs w:val="18"/>
    </w:rPr>
  </w:style>
  <w:style w:type="character" w:customStyle="1" w:styleId="a5">
    <w:name w:val="页眉 字符"/>
    <w:basedOn w:val="a0"/>
    <w:link w:val="a4"/>
    <w:uiPriority w:val="99"/>
    <w:rsid w:val="005F7689"/>
    <w:rPr>
      <w:sz w:val="18"/>
      <w:szCs w:val="18"/>
    </w:rPr>
  </w:style>
  <w:style w:type="paragraph" w:styleId="a6">
    <w:name w:val="footer"/>
    <w:basedOn w:val="a"/>
    <w:link w:val="a7"/>
    <w:uiPriority w:val="99"/>
    <w:unhideWhenUsed/>
    <w:rsid w:val="005F7689"/>
    <w:pPr>
      <w:tabs>
        <w:tab w:val="center" w:pos="4153"/>
        <w:tab w:val="right" w:pos="8306"/>
      </w:tabs>
      <w:snapToGrid w:val="0"/>
      <w:spacing w:line="240" w:lineRule="auto"/>
    </w:pPr>
    <w:rPr>
      <w:sz w:val="18"/>
      <w:szCs w:val="18"/>
    </w:rPr>
  </w:style>
  <w:style w:type="character" w:customStyle="1" w:styleId="a7">
    <w:name w:val="页脚 字符"/>
    <w:basedOn w:val="a0"/>
    <w:link w:val="a6"/>
    <w:uiPriority w:val="99"/>
    <w:rsid w:val="005F7689"/>
    <w:rPr>
      <w:sz w:val="18"/>
      <w:szCs w:val="18"/>
    </w:rPr>
  </w:style>
  <w:style w:type="paragraph" w:styleId="a8">
    <w:name w:val="Normal (Web)"/>
    <w:basedOn w:val="a"/>
    <w:uiPriority w:val="99"/>
    <w:semiHidden/>
    <w:unhideWhenUsed/>
    <w:rsid w:val="00124F06"/>
    <w:pPr>
      <w:spacing w:before="100" w:beforeAutospacing="1" w:after="100" w:afterAutospacing="1" w:line="240" w:lineRule="auto"/>
    </w:pPr>
    <w:rPr>
      <w:rFonts w:cs="宋体"/>
      <w:kern w:val="0"/>
    </w:rPr>
  </w:style>
  <w:style w:type="character" w:styleId="a9">
    <w:name w:val="Strong"/>
    <w:basedOn w:val="a0"/>
    <w:uiPriority w:val="22"/>
    <w:qFormat/>
    <w:rsid w:val="00124F06"/>
    <w:rPr>
      <w:b/>
      <w:bCs/>
    </w:rPr>
  </w:style>
  <w:style w:type="character" w:customStyle="1" w:styleId="40">
    <w:name w:val="标题 4 字符"/>
    <w:basedOn w:val="a0"/>
    <w:link w:val="4"/>
    <w:uiPriority w:val="9"/>
    <w:rsid w:val="008F4FB9"/>
    <w:rPr>
      <w:rFonts w:cs="宋体"/>
      <w:b/>
      <w:bCs/>
      <w:kern w:val="0"/>
    </w:rPr>
  </w:style>
  <w:style w:type="table" w:customStyle="1" w:styleId="2">
    <w:name w:val="网格型2"/>
    <w:basedOn w:val="a1"/>
    <w:autoRedefine/>
    <w:qFormat/>
    <w:rsid w:val="005E1441"/>
    <w:pPr>
      <w:spacing w:line="240" w:lineRule="auto"/>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annotation reference"/>
    <w:basedOn w:val="a0"/>
    <w:uiPriority w:val="99"/>
    <w:semiHidden/>
    <w:unhideWhenUsed/>
    <w:rsid w:val="00183FE7"/>
    <w:rPr>
      <w:sz w:val="21"/>
      <w:szCs w:val="21"/>
    </w:rPr>
  </w:style>
  <w:style w:type="paragraph" w:styleId="ab">
    <w:name w:val="annotation text"/>
    <w:basedOn w:val="a"/>
    <w:link w:val="ac"/>
    <w:uiPriority w:val="99"/>
    <w:semiHidden/>
    <w:unhideWhenUsed/>
    <w:rsid w:val="00183FE7"/>
  </w:style>
  <w:style w:type="character" w:customStyle="1" w:styleId="ac">
    <w:name w:val="批注文字 字符"/>
    <w:basedOn w:val="a0"/>
    <w:link w:val="ab"/>
    <w:uiPriority w:val="99"/>
    <w:semiHidden/>
    <w:rsid w:val="00183FE7"/>
  </w:style>
  <w:style w:type="paragraph" w:styleId="ad">
    <w:name w:val="annotation subject"/>
    <w:basedOn w:val="ab"/>
    <w:next w:val="ab"/>
    <w:link w:val="ae"/>
    <w:uiPriority w:val="99"/>
    <w:semiHidden/>
    <w:unhideWhenUsed/>
    <w:rsid w:val="00183FE7"/>
    <w:rPr>
      <w:b/>
      <w:bCs/>
    </w:rPr>
  </w:style>
  <w:style w:type="character" w:customStyle="1" w:styleId="ae">
    <w:name w:val="批注主题 字符"/>
    <w:basedOn w:val="ac"/>
    <w:link w:val="ad"/>
    <w:uiPriority w:val="99"/>
    <w:semiHidden/>
    <w:rsid w:val="00183FE7"/>
    <w:rPr>
      <w:b/>
      <w:bCs/>
    </w:rPr>
  </w:style>
  <w:style w:type="character" w:customStyle="1" w:styleId="10">
    <w:name w:val="标题 1 字符"/>
    <w:basedOn w:val="a0"/>
    <w:link w:val="1"/>
    <w:uiPriority w:val="9"/>
    <w:rsid w:val="00103CC7"/>
    <w:rPr>
      <w:b/>
      <w:bCs/>
      <w:kern w:val="44"/>
      <w:sz w:val="44"/>
      <w:szCs w:val="44"/>
    </w:rPr>
  </w:style>
  <w:style w:type="paragraph" w:customStyle="1" w:styleId="af">
    <w:name w:val="文章正文"/>
    <w:link w:val="af0"/>
    <w:qFormat/>
    <w:rsid w:val="00B51DBB"/>
    <w:pPr>
      <w:widowControl w:val="0"/>
      <w:spacing w:line="300" w:lineRule="auto"/>
      <w:ind w:firstLineChars="200" w:firstLine="200"/>
      <w:jc w:val="both"/>
    </w:pPr>
    <w:rPr>
      <w:rFonts w:ascii="Times New Roman" w:hAnsi="Times New Roman" w:cs="Arial"/>
      <w:szCs w:val="22"/>
      <w14:ligatures w14:val="standardContextual"/>
    </w:rPr>
  </w:style>
  <w:style w:type="character" w:customStyle="1" w:styleId="af0">
    <w:name w:val="文章正文 字符"/>
    <w:link w:val="af"/>
    <w:rsid w:val="00B51DBB"/>
    <w:rPr>
      <w:rFonts w:ascii="Times New Roman" w:hAnsi="Times New Roman" w:cs="Arial"/>
      <w:szCs w:val="22"/>
      <w14:ligatures w14:val="standardContextual"/>
    </w:rPr>
  </w:style>
  <w:style w:type="table" w:styleId="af1">
    <w:name w:val="Table Grid"/>
    <w:basedOn w:val="a1"/>
    <w:uiPriority w:val="39"/>
    <w:rsid w:val="00B51DBB"/>
    <w:pPr>
      <w:spacing w:line="240" w:lineRule="auto"/>
    </w:pPr>
    <w:rPr>
      <w:rFonts w:asciiTheme="minorHAnsi" w:eastAsiaTheme="minorEastAsia" w:hAnsiTheme="minorHAnsi"/>
      <w:sz w:val="21"/>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Revision"/>
    <w:hidden/>
    <w:uiPriority w:val="99"/>
    <w:semiHidden/>
    <w:rsid w:val="003C2F3F"/>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700505">
      <w:bodyDiv w:val="1"/>
      <w:marLeft w:val="0"/>
      <w:marRight w:val="0"/>
      <w:marTop w:val="0"/>
      <w:marBottom w:val="0"/>
      <w:divBdr>
        <w:top w:val="none" w:sz="0" w:space="0" w:color="auto"/>
        <w:left w:val="none" w:sz="0" w:space="0" w:color="auto"/>
        <w:bottom w:val="none" w:sz="0" w:space="0" w:color="auto"/>
        <w:right w:val="none" w:sz="0" w:space="0" w:color="auto"/>
      </w:divBdr>
    </w:div>
    <w:div w:id="272324664">
      <w:bodyDiv w:val="1"/>
      <w:marLeft w:val="0"/>
      <w:marRight w:val="0"/>
      <w:marTop w:val="0"/>
      <w:marBottom w:val="0"/>
      <w:divBdr>
        <w:top w:val="none" w:sz="0" w:space="0" w:color="auto"/>
        <w:left w:val="none" w:sz="0" w:space="0" w:color="auto"/>
        <w:bottom w:val="none" w:sz="0" w:space="0" w:color="auto"/>
        <w:right w:val="none" w:sz="0" w:space="0" w:color="auto"/>
      </w:divBdr>
    </w:div>
    <w:div w:id="355618223">
      <w:bodyDiv w:val="1"/>
      <w:marLeft w:val="0"/>
      <w:marRight w:val="0"/>
      <w:marTop w:val="0"/>
      <w:marBottom w:val="0"/>
      <w:divBdr>
        <w:top w:val="none" w:sz="0" w:space="0" w:color="auto"/>
        <w:left w:val="none" w:sz="0" w:space="0" w:color="auto"/>
        <w:bottom w:val="none" w:sz="0" w:space="0" w:color="auto"/>
        <w:right w:val="none" w:sz="0" w:space="0" w:color="auto"/>
      </w:divBdr>
    </w:div>
    <w:div w:id="535318224">
      <w:bodyDiv w:val="1"/>
      <w:marLeft w:val="0"/>
      <w:marRight w:val="0"/>
      <w:marTop w:val="0"/>
      <w:marBottom w:val="0"/>
      <w:divBdr>
        <w:top w:val="none" w:sz="0" w:space="0" w:color="auto"/>
        <w:left w:val="none" w:sz="0" w:space="0" w:color="auto"/>
        <w:bottom w:val="none" w:sz="0" w:space="0" w:color="auto"/>
        <w:right w:val="none" w:sz="0" w:space="0" w:color="auto"/>
      </w:divBdr>
    </w:div>
    <w:div w:id="563878706">
      <w:bodyDiv w:val="1"/>
      <w:marLeft w:val="0"/>
      <w:marRight w:val="0"/>
      <w:marTop w:val="0"/>
      <w:marBottom w:val="0"/>
      <w:divBdr>
        <w:top w:val="none" w:sz="0" w:space="0" w:color="auto"/>
        <w:left w:val="none" w:sz="0" w:space="0" w:color="auto"/>
        <w:bottom w:val="none" w:sz="0" w:space="0" w:color="auto"/>
        <w:right w:val="none" w:sz="0" w:space="0" w:color="auto"/>
      </w:divBdr>
    </w:div>
    <w:div w:id="592667165">
      <w:bodyDiv w:val="1"/>
      <w:marLeft w:val="0"/>
      <w:marRight w:val="0"/>
      <w:marTop w:val="0"/>
      <w:marBottom w:val="0"/>
      <w:divBdr>
        <w:top w:val="none" w:sz="0" w:space="0" w:color="auto"/>
        <w:left w:val="none" w:sz="0" w:space="0" w:color="auto"/>
        <w:bottom w:val="none" w:sz="0" w:space="0" w:color="auto"/>
        <w:right w:val="none" w:sz="0" w:space="0" w:color="auto"/>
      </w:divBdr>
    </w:div>
    <w:div w:id="654530016">
      <w:bodyDiv w:val="1"/>
      <w:marLeft w:val="0"/>
      <w:marRight w:val="0"/>
      <w:marTop w:val="0"/>
      <w:marBottom w:val="0"/>
      <w:divBdr>
        <w:top w:val="none" w:sz="0" w:space="0" w:color="auto"/>
        <w:left w:val="none" w:sz="0" w:space="0" w:color="auto"/>
        <w:bottom w:val="none" w:sz="0" w:space="0" w:color="auto"/>
        <w:right w:val="none" w:sz="0" w:space="0" w:color="auto"/>
      </w:divBdr>
    </w:div>
    <w:div w:id="782724763">
      <w:bodyDiv w:val="1"/>
      <w:marLeft w:val="0"/>
      <w:marRight w:val="0"/>
      <w:marTop w:val="0"/>
      <w:marBottom w:val="0"/>
      <w:divBdr>
        <w:top w:val="none" w:sz="0" w:space="0" w:color="auto"/>
        <w:left w:val="none" w:sz="0" w:space="0" w:color="auto"/>
        <w:bottom w:val="none" w:sz="0" w:space="0" w:color="auto"/>
        <w:right w:val="none" w:sz="0" w:space="0" w:color="auto"/>
      </w:divBdr>
    </w:div>
    <w:div w:id="942805098">
      <w:bodyDiv w:val="1"/>
      <w:marLeft w:val="0"/>
      <w:marRight w:val="0"/>
      <w:marTop w:val="0"/>
      <w:marBottom w:val="0"/>
      <w:divBdr>
        <w:top w:val="none" w:sz="0" w:space="0" w:color="auto"/>
        <w:left w:val="none" w:sz="0" w:space="0" w:color="auto"/>
        <w:bottom w:val="none" w:sz="0" w:space="0" w:color="auto"/>
        <w:right w:val="none" w:sz="0" w:space="0" w:color="auto"/>
      </w:divBdr>
    </w:div>
    <w:div w:id="954948595">
      <w:bodyDiv w:val="1"/>
      <w:marLeft w:val="0"/>
      <w:marRight w:val="0"/>
      <w:marTop w:val="0"/>
      <w:marBottom w:val="0"/>
      <w:divBdr>
        <w:top w:val="none" w:sz="0" w:space="0" w:color="auto"/>
        <w:left w:val="none" w:sz="0" w:space="0" w:color="auto"/>
        <w:bottom w:val="none" w:sz="0" w:space="0" w:color="auto"/>
        <w:right w:val="none" w:sz="0" w:space="0" w:color="auto"/>
      </w:divBdr>
    </w:div>
    <w:div w:id="1155684817">
      <w:bodyDiv w:val="1"/>
      <w:marLeft w:val="0"/>
      <w:marRight w:val="0"/>
      <w:marTop w:val="0"/>
      <w:marBottom w:val="0"/>
      <w:divBdr>
        <w:top w:val="none" w:sz="0" w:space="0" w:color="auto"/>
        <w:left w:val="none" w:sz="0" w:space="0" w:color="auto"/>
        <w:bottom w:val="none" w:sz="0" w:space="0" w:color="auto"/>
        <w:right w:val="none" w:sz="0" w:space="0" w:color="auto"/>
      </w:divBdr>
    </w:div>
    <w:div w:id="1289310954">
      <w:bodyDiv w:val="1"/>
      <w:marLeft w:val="0"/>
      <w:marRight w:val="0"/>
      <w:marTop w:val="0"/>
      <w:marBottom w:val="0"/>
      <w:divBdr>
        <w:top w:val="none" w:sz="0" w:space="0" w:color="auto"/>
        <w:left w:val="none" w:sz="0" w:space="0" w:color="auto"/>
        <w:bottom w:val="none" w:sz="0" w:space="0" w:color="auto"/>
        <w:right w:val="none" w:sz="0" w:space="0" w:color="auto"/>
      </w:divBdr>
    </w:div>
    <w:div w:id="1441531101">
      <w:bodyDiv w:val="1"/>
      <w:marLeft w:val="0"/>
      <w:marRight w:val="0"/>
      <w:marTop w:val="0"/>
      <w:marBottom w:val="0"/>
      <w:divBdr>
        <w:top w:val="none" w:sz="0" w:space="0" w:color="auto"/>
        <w:left w:val="none" w:sz="0" w:space="0" w:color="auto"/>
        <w:bottom w:val="none" w:sz="0" w:space="0" w:color="auto"/>
        <w:right w:val="none" w:sz="0" w:space="0" w:color="auto"/>
      </w:divBdr>
    </w:div>
    <w:div w:id="1548646179">
      <w:bodyDiv w:val="1"/>
      <w:marLeft w:val="0"/>
      <w:marRight w:val="0"/>
      <w:marTop w:val="0"/>
      <w:marBottom w:val="0"/>
      <w:divBdr>
        <w:top w:val="none" w:sz="0" w:space="0" w:color="auto"/>
        <w:left w:val="none" w:sz="0" w:space="0" w:color="auto"/>
        <w:bottom w:val="none" w:sz="0" w:space="0" w:color="auto"/>
        <w:right w:val="none" w:sz="0" w:space="0" w:color="auto"/>
      </w:divBdr>
    </w:div>
    <w:div w:id="1562205227">
      <w:bodyDiv w:val="1"/>
      <w:marLeft w:val="0"/>
      <w:marRight w:val="0"/>
      <w:marTop w:val="0"/>
      <w:marBottom w:val="0"/>
      <w:divBdr>
        <w:top w:val="none" w:sz="0" w:space="0" w:color="auto"/>
        <w:left w:val="none" w:sz="0" w:space="0" w:color="auto"/>
        <w:bottom w:val="none" w:sz="0" w:space="0" w:color="auto"/>
        <w:right w:val="none" w:sz="0" w:space="0" w:color="auto"/>
      </w:divBdr>
    </w:div>
    <w:div w:id="1727680183">
      <w:bodyDiv w:val="1"/>
      <w:marLeft w:val="0"/>
      <w:marRight w:val="0"/>
      <w:marTop w:val="0"/>
      <w:marBottom w:val="0"/>
      <w:divBdr>
        <w:top w:val="none" w:sz="0" w:space="0" w:color="auto"/>
        <w:left w:val="none" w:sz="0" w:space="0" w:color="auto"/>
        <w:bottom w:val="none" w:sz="0" w:space="0" w:color="auto"/>
        <w:right w:val="none" w:sz="0" w:space="0" w:color="auto"/>
      </w:divBdr>
    </w:div>
    <w:div w:id="1796632303">
      <w:bodyDiv w:val="1"/>
      <w:marLeft w:val="0"/>
      <w:marRight w:val="0"/>
      <w:marTop w:val="0"/>
      <w:marBottom w:val="0"/>
      <w:divBdr>
        <w:top w:val="none" w:sz="0" w:space="0" w:color="auto"/>
        <w:left w:val="none" w:sz="0" w:space="0" w:color="auto"/>
        <w:bottom w:val="none" w:sz="0" w:space="0" w:color="auto"/>
        <w:right w:val="none" w:sz="0" w:space="0" w:color="auto"/>
      </w:divBdr>
    </w:div>
    <w:div w:id="1812552756">
      <w:bodyDiv w:val="1"/>
      <w:marLeft w:val="0"/>
      <w:marRight w:val="0"/>
      <w:marTop w:val="0"/>
      <w:marBottom w:val="0"/>
      <w:divBdr>
        <w:top w:val="none" w:sz="0" w:space="0" w:color="auto"/>
        <w:left w:val="none" w:sz="0" w:space="0" w:color="auto"/>
        <w:bottom w:val="none" w:sz="0" w:space="0" w:color="auto"/>
        <w:right w:val="none" w:sz="0" w:space="0" w:color="auto"/>
      </w:divBdr>
    </w:div>
    <w:div w:id="1852061292">
      <w:bodyDiv w:val="1"/>
      <w:marLeft w:val="0"/>
      <w:marRight w:val="0"/>
      <w:marTop w:val="0"/>
      <w:marBottom w:val="0"/>
      <w:divBdr>
        <w:top w:val="none" w:sz="0" w:space="0" w:color="auto"/>
        <w:left w:val="none" w:sz="0" w:space="0" w:color="auto"/>
        <w:bottom w:val="none" w:sz="0" w:space="0" w:color="auto"/>
        <w:right w:val="none" w:sz="0" w:space="0" w:color="auto"/>
      </w:divBdr>
    </w:div>
    <w:div w:id="1972244896">
      <w:bodyDiv w:val="1"/>
      <w:marLeft w:val="0"/>
      <w:marRight w:val="0"/>
      <w:marTop w:val="0"/>
      <w:marBottom w:val="0"/>
      <w:divBdr>
        <w:top w:val="none" w:sz="0" w:space="0" w:color="auto"/>
        <w:left w:val="none" w:sz="0" w:space="0" w:color="auto"/>
        <w:bottom w:val="none" w:sz="0" w:space="0" w:color="auto"/>
        <w:right w:val="none" w:sz="0" w:space="0" w:color="auto"/>
      </w:divBdr>
    </w:div>
    <w:div w:id="2070031033">
      <w:bodyDiv w:val="1"/>
      <w:marLeft w:val="0"/>
      <w:marRight w:val="0"/>
      <w:marTop w:val="0"/>
      <w:marBottom w:val="0"/>
      <w:divBdr>
        <w:top w:val="none" w:sz="0" w:space="0" w:color="auto"/>
        <w:left w:val="none" w:sz="0" w:space="0" w:color="auto"/>
        <w:bottom w:val="none" w:sz="0" w:space="0" w:color="auto"/>
        <w:right w:val="none" w:sz="0" w:space="0" w:color="auto"/>
      </w:divBdr>
    </w:div>
    <w:div w:id="2115395616">
      <w:bodyDiv w:val="1"/>
      <w:marLeft w:val="0"/>
      <w:marRight w:val="0"/>
      <w:marTop w:val="0"/>
      <w:marBottom w:val="0"/>
      <w:divBdr>
        <w:top w:val="none" w:sz="0" w:space="0" w:color="auto"/>
        <w:left w:val="none" w:sz="0" w:space="0" w:color="auto"/>
        <w:bottom w:val="none" w:sz="0" w:space="0" w:color="auto"/>
        <w:right w:val="none" w:sz="0" w:space="0" w:color="auto"/>
      </w:divBdr>
    </w:div>
    <w:div w:id="2123373922">
      <w:bodyDiv w:val="1"/>
      <w:marLeft w:val="0"/>
      <w:marRight w:val="0"/>
      <w:marTop w:val="0"/>
      <w:marBottom w:val="0"/>
      <w:divBdr>
        <w:top w:val="none" w:sz="0" w:space="0" w:color="auto"/>
        <w:left w:val="none" w:sz="0" w:space="0" w:color="auto"/>
        <w:bottom w:val="none" w:sz="0" w:space="0" w:color="auto"/>
        <w:right w:val="none" w:sz="0" w:space="0" w:color="auto"/>
      </w:divBdr>
    </w:div>
    <w:div w:id="21263852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1387</TotalTime>
  <Pages>12</Pages>
  <Words>3753</Words>
  <Characters>4355</Characters>
  <Application>Microsoft Office Word</Application>
  <DocSecurity>0</DocSecurity>
  <Lines>197</Lines>
  <Paragraphs>188</Paragraphs>
  <ScaleCrop>false</ScaleCrop>
  <Company/>
  <LinksUpToDate>false</LinksUpToDate>
  <CharactersWithSpaces>7920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王炫</dc:creator>
  <cp:keywords/>
  <dc:description/>
  <cp:lastModifiedBy>yu xing</cp:lastModifiedBy>
  <cp:revision>84</cp:revision>
  <dcterms:created xsi:type="dcterms:W3CDTF">2025-02-24T05:40:00Z</dcterms:created>
  <dcterms:modified xsi:type="dcterms:W3CDTF">2025-07-22T15:29:00Z</dcterms:modified>
</cp:coreProperties>
</file>